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038D9">
      <w:pPr>
        <w:widowControl w:val="0"/>
        <w:adjustRightInd/>
        <w:snapToGrid/>
        <w:spacing w:after="0" w:line="640" w:lineRule="exact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附件：</w:t>
      </w:r>
    </w:p>
    <w:p w14:paraId="71C1A463">
      <w:pPr>
        <w:widowControl w:val="0"/>
        <w:adjustRightInd/>
        <w:snapToGrid/>
        <w:spacing w:after="312" w:afterLines="100" w:line="640" w:lineRule="exact"/>
        <w:jc w:val="center"/>
        <w:rPr>
          <w:rFonts w:hint="eastAsia" w:asciiTheme="minorEastAsia" w:hAnsiTheme="minorEastAsia" w:eastAsiaTheme="minorEastAsia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44"/>
          <w:szCs w:val="32"/>
          <w:lang w:eastAsia="zh-CN"/>
        </w:rPr>
        <w:t>成都市血液中心2026年医疗污泥处理技术服务采购项目</w:t>
      </w:r>
    </w:p>
    <w:p w14:paraId="2CCC5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一、项目内容：</w:t>
      </w: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成都市血液中心2026年医疗污泥处理技术服务采购项目</w:t>
      </w:r>
    </w:p>
    <w:p w14:paraId="36010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二、项目概况：</w:t>
      </w:r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采购数量1项，成都市血液中心2026年医疗污泥处理技术服务采购项目，预算金额4.5</w:t>
      </w:r>
      <w:bookmarkStart w:id="0" w:name="_GoBack"/>
      <w:bookmarkEnd w:id="0"/>
      <w:r>
        <w:rPr>
          <w:rFonts w:hint="eastAsia" w:ascii="仿宋" w:hAnsi="仿宋" w:eastAsia="仿宋" w:cs="Segoe UI"/>
          <w:color w:val="212529"/>
          <w:sz w:val="30"/>
          <w:szCs w:val="30"/>
          <w:lang w:val="en-US" w:eastAsia="zh-CN" w:bidi="ar-SA"/>
        </w:rPr>
        <w:t>万元。</w:t>
      </w:r>
    </w:p>
    <w:p w14:paraId="60B97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00" w:firstLineChars="200"/>
        <w:jc w:val="both"/>
        <w:textAlignment w:val="auto"/>
        <w:rPr>
          <w:rFonts w:hint="eastAsia" w:ascii="黑体" w:hAnsi="黑体" w:eastAsia="黑体" w:cs="黑体"/>
          <w:color w:val="212529"/>
          <w:sz w:val="30"/>
          <w:szCs w:val="30"/>
          <w:lang w:val="en-US"/>
        </w:rPr>
      </w:pPr>
      <w:r>
        <w:rPr>
          <w:rFonts w:hint="eastAsia" w:ascii="黑体" w:hAnsi="黑体" w:eastAsia="黑体" w:cs="黑体"/>
          <w:color w:val="212529"/>
          <w:sz w:val="30"/>
          <w:szCs w:val="30"/>
          <w:lang w:val="en-US"/>
        </w:rPr>
        <w:t>三、资格要求：</w:t>
      </w:r>
    </w:p>
    <w:p w14:paraId="46B932DE">
      <w:pPr>
        <w:pStyle w:val="4"/>
        <w:spacing w:line="240" w:lineRule="auto"/>
        <w:ind w:firstLine="6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1、供应商具有独立承担民事责任的能力。</w:t>
      </w:r>
    </w:p>
    <w:p w14:paraId="49E13D79">
      <w:pPr>
        <w:pStyle w:val="4"/>
        <w:spacing w:line="24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2、供应商参加本次采购活动前三年内，在经营活动中没有重大违法违规记录（提供承诺函）。</w:t>
      </w:r>
    </w:p>
    <w:p w14:paraId="61002817">
      <w:pPr>
        <w:pStyle w:val="4"/>
        <w:spacing w:line="24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3、供应商具有良好的商业信誉和健全的财务会计制度（提供承诺函）。</w:t>
      </w:r>
    </w:p>
    <w:p w14:paraId="5E0EF217">
      <w:pPr>
        <w:pStyle w:val="4"/>
        <w:spacing w:line="24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4、供应商具有依法缴纳税收和社会保障资金的良好记录（提供承诺函）。</w:t>
      </w:r>
    </w:p>
    <w:p w14:paraId="1D557AE4">
      <w:pPr>
        <w:pStyle w:val="4"/>
        <w:spacing w:line="240" w:lineRule="auto"/>
        <w:ind w:firstLine="600" w:firstLineChars="200"/>
        <w:rPr>
          <w:rFonts w:hint="eastAsia" w:cs="Segoe UI"/>
          <w:color w:val="212529"/>
          <w:sz w:val="30"/>
          <w:szCs w:val="30"/>
          <w:lang w:val="en-US" w:bidi="ar-SA"/>
        </w:rPr>
      </w:pPr>
      <w:r>
        <w:rPr>
          <w:rFonts w:hint="eastAsia" w:cs="Segoe UI"/>
          <w:color w:val="212529"/>
          <w:sz w:val="30"/>
          <w:szCs w:val="30"/>
          <w:lang w:val="en-US" w:bidi="ar-SA"/>
        </w:rPr>
        <w:t>5、具有履行合同所必须的设备和专业技术能力（提供承诺函）。</w:t>
      </w:r>
    </w:p>
    <w:p w14:paraId="512E4FF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1"/>
        <w:textAlignment w:val="auto"/>
        <w:rPr>
          <w:rFonts w:hint="eastAsia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6、供应商具有有效期内的《危险废物经营许可证》，核准经营方式包含处置，经营范围须包含HW01中的841-001-01（污泥），同时覆盖HW01医疗废物下 841-002-01 损伤性废物、841-003-01病理性废物、841-004-01化学性废物、841-005-01药物性废物；如证照未标注污泥，需额外提供 841-001-01代码资质及处置污泥的环评批复，所有证件均在有效期内。</w:t>
      </w:r>
    </w:p>
    <w:p w14:paraId="0EBC913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1"/>
        <w:textAlignment w:val="auto"/>
        <w:rPr>
          <w:rFonts w:hint="eastAsia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7、供应商具有有效期内的《道路运输经营许可证》，经营范围必须包含危险货物运输（医疗废物）。</w:t>
      </w:r>
    </w:p>
    <w:p w14:paraId="72EEBD4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1"/>
        <w:textAlignment w:val="auto"/>
        <w:rPr>
          <w:rFonts w:hint="eastAsia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8、供应商具有有效期内的成都市《危险化学品道路运输通行证》。</w:t>
      </w:r>
    </w:p>
    <w:p w14:paraId="2FFD766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1"/>
        <w:textAlignment w:val="auto"/>
        <w:rPr>
          <w:rFonts w:hint="eastAsia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9、供应商承诺清掏出的医疗污泥不在院区内干化、堆放，且当日转运出院，避免二次污染、防止感染源扩散</w:t>
      </w:r>
      <w:r>
        <w:rPr>
          <w:rFonts w:hint="eastAsia" w:cs="Segoe UI"/>
          <w:color w:val="212529"/>
          <w:sz w:val="30"/>
          <w:szCs w:val="30"/>
          <w:lang w:val="en-US" w:bidi="ar-SA"/>
        </w:rPr>
        <w:t>（提供承诺函）</w:t>
      </w: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。</w:t>
      </w:r>
    </w:p>
    <w:p w14:paraId="2422E9E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1"/>
        <w:textAlignment w:val="auto"/>
        <w:rPr>
          <w:rFonts w:hint="default" w:cs="Segoe UI"/>
          <w:color w:val="212529"/>
          <w:sz w:val="30"/>
          <w:szCs w:val="30"/>
          <w:lang w:val="en-US" w:eastAsia="zh-CN" w:bidi="ar-SA"/>
        </w:rPr>
      </w:pP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10、本项目清掏外运及无害化处置全过程由供应商独立完成，不接受联合体投标及转包服务</w:t>
      </w:r>
      <w:r>
        <w:rPr>
          <w:rFonts w:hint="eastAsia" w:cs="Segoe UI"/>
          <w:color w:val="212529"/>
          <w:sz w:val="30"/>
          <w:szCs w:val="30"/>
          <w:lang w:val="en-US" w:bidi="ar-SA"/>
        </w:rPr>
        <w:t>（提供承诺函）</w:t>
      </w:r>
      <w:r>
        <w:rPr>
          <w:rFonts w:hint="eastAsia" w:cs="Segoe UI"/>
          <w:color w:val="212529"/>
          <w:sz w:val="30"/>
          <w:szCs w:val="30"/>
          <w:lang w:val="en-US" w:eastAsia="zh-CN" w:bidi="ar-SA"/>
        </w:rPr>
        <w:t>。</w:t>
      </w:r>
    </w:p>
    <w:p w14:paraId="4D2F1C81">
      <w:pPr>
        <w:ind w:firstLine="600" w:firstLineChars="200"/>
        <w:rPr>
          <w:rFonts w:hint="eastAsia" w:ascii="黑体" w:hAnsi="黑体" w:eastAsia="黑体" w:cs="黑体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四、</w:t>
      </w:r>
      <w:r>
        <w:rPr>
          <w:rFonts w:hint="eastAsia" w:ascii="黑体" w:hAnsi="黑体" w:eastAsia="黑体" w:cs="黑体"/>
          <w:color w:val="212529"/>
          <w:sz w:val="30"/>
          <w:szCs w:val="30"/>
          <w:lang w:val="en-US" w:eastAsia="zh-CN"/>
        </w:rPr>
        <w:t>技术</w:t>
      </w:r>
      <w:r>
        <w:rPr>
          <w:rFonts w:hint="eastAsia" w:ascii="黑体" w:hAnsi="黑体" w:eastAsia="黑体" w:cs="黑体"/>
          <w:color w:val="212529"/>
          <w:sz w:val="30"/>
          <w:szCs w:val="30"/>
        </w:rPr>
        <w:t>要求：</w:t>
      </w:r>
    </w:p>
    <w:p w14:paraId="6B0EEA6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right="0"/>
        <w:rPr>
          <w:rFonts w:hint="eastAsia" w:ascii="仿宋" w:hAnsi="仿宋" w:eastAsia="仿宋" w:cs="仿宋"/>
          <w:b/>
          <w:bCs/>
          <w:spacing w:val="-1"/>
          <w:positio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"/>
          <w:position w:val="2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-1"/>
          <w:position w:val="2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pacing w:val="-1"/>
          <w:position w:val="2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pacing w:val="-1"/>
          <w:position w:val="2"/>
          <w:sz w:val="30"/>
          <w:szCs w:val="30"/>
          <w:lang w:val="en-US" w:eastAsia="zh-CN"/>
        </w:rPr>
        <w:t>服务要求</w:t>
      </w:r>
    </w:p>
    <w:p w14:paraId="1E4732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1、严格按照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医疗废物管理条例》（国务院令380号）《固体废物污染环境防治法》《医疗机构水污染排放标准》(GB18466-2005)《危险废物运输管理规定》、川环函[2017]1656号、成环土函[2022]880号文件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及环保部门现行有效要求开展服务，将中心污泥清运至医疗废物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集中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处置中心并完成无害化处置。</w:t>
      </w:r>
    </w:p>
    <w:p w14:paraId="4F4824E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2、医疗污泥为感染性医疗废物，清掏处置过程中不得在院内进行干化、石灰固化、脱水及暂存操作，抽取污水及污泥混合物后立即现场拉走，避免扬尘、恶臭等二次污染。</w:t>
      </w:r>
    </w:p>
    <w:p w14:paraId="5E3AE87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3、派专人现场开展清掏作业，车辆无法到达区域采用人工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+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车辆清掏混合方式，每次清掏后完成中心污水井道内污染物的全面清掏处置。</w:t>
      </w:r>
    </w:p>
    <w:p w14:paraId="1F27CE0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4、作业过程严格遵守《中华人民共和国安全生产法》，严禁无人监护作业，须配置专职安全监督人员全程现场跟踪；若在清掏、转运、处置过程中发生事故或人身伤亡，由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承担全部法律和经济责任。</w:t>
      </w:r>
    </w:p>
    <w:p w14:paraId="70372FF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5、清掏处置完成后，对作业场地及周边环境进行全面清理，确保无污泥残留、无二次污染。</w:t>
      </w:r>
    </w:p>
    <w:p w14:paraId="684CE68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6、污泥运输过程中采取有效防护措施，杜绝破损、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eastAsia="zh-CN"/>
        </w:rPr>
        <w:t>泄漏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等二次污染情况；若发生运输事故，由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承担责任。</w:t>
      </w:r>
    </w:p>
    <w:p w14:paraId="5FAC9F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7、涉及有限空间操作的，须履行相关审批流程，严格按照《四川省有限空间作业安全管理规定》规范操作，配备齐全的安全防护设备和应急救援器材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相关人员持证上岗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。</w:t>
      </w:r>
    </w:p>
    <w:p w14:paraId="6B0E17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8、全力配合采购人向环保部门提交污泥转运处置全部资料，协助办理清淤施工申请及《危险废物转移联单》，确保流程合规、资料完整。</w:t>
      </w:r>
    </w:p>
    <w:p w14:paraId="52D1EE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9、接到采购人通知后，在约定作业时间后30个日历日内完成全部污泥清理处置工作；采购人有紧急需求时，须立即响应并派车派人现场开展规范处置。</w:t>
      </w:r>
    </w:p>
    <w:p w14:paraId="286A352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10、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运输医疗污泥的交通工具符合《医疗废物管理条例》规定，专车专用，不得运送其他物品；运输车辆及驾乘、押运人员符合国家相关法规要求，至少提供 1 辆运输车及对应人员资质资料（车辆《道路运输经营许可证》、行驶证，驾驶人员驾驶证，押运员《危险货物押运员证》），所有证件在有效期内。</w:t>
      </w:r>
    </w:p>
    <w:p w14:paraId="4D5A1C9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1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、接受采购人对污泥清运、处置全过程的监督检查，对作业中出现的问题及时响应、妥善处理；若处置工作不符合国家及环保部门规定，须按采购人要求当场整改至达标。</w:t>
      </w:r>
    </w:p>
    <w:p w14:paraId="18978C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8" w:line="190" w:lineRule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（二）服务清单</w:t>
      </w:r>
    </w:p>
    <w:p w14:paraId="066CBFC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协助办理清淤施工所需各类申请、备案手续及《危险废物转移联单》等相关审批资料。</w:t>
      </w:r>
    </w:p>
    <w:p w14:paraId="2F00880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完成中心污水处理站污泥池、化粪池污泥的全面清掏、清运工作，并对所有清运污泥进行合规无害化处置。</w:t>
      </w:r>
    </w:p>
    <w:p w14:paraId="2C73622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配备证照手续齐全的医疗废物专用运输车辆，制定完善的运输防护措施，防止运输过程中二次环境污染。</w:t>
      </w:r>
    </w:p>
    <w:p w14:paraId="2E04F31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为现场作业人员提供必备的安全保障措施、岗前安全教育及专业技术培训，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具备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完善的施工安全管理制度。</w:t>
      </w:r>
    </w:p>
    <w:p w14:paraId="07FDCD7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完成每次清掏后污水井道内污染物清掏处置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eastAsia="zh-CN"/>
        </w:rPr>
        <w:t>，以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及作业场地、周边环境的清理清洁工作。</w:t>
      </w:r>
    </w:p>
    <w:p w14:paraId="4204FC4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ind w:left="-440" w:leftChars="-200" w:right="0" w:firstLine="596" w:firstLineChars="200"/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配合采购人完成污泥处置工作的监督、验收，及时提供污泥无害化处置相关证明资料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pacing w:val="-1"/>
          <w:position w:val="2"/>
          <w:sz w:val="30"/>
          <w:szCs w:val="30"/>
        </w:rPr>
        <w:t>并配合采购人完成环保部门相关资料报备工作。</w:t>
      </w:r>
    </w:p>
    <w:p w14:paraId="64949134">
      <w:pPr>
        <w:ind w:firstLine="600" w:firstLineChars="200"/>
        <w:rPr>
          <w:rFonts w:hint="eastAsia" w:ascii="黑体" w:hAnsi="黑体" w:eastAsia="黑体" w:cs="黑体"/>
          <w:color w:val="212529"/>
          <w:sz w:val="30"/>
          <w:szCs w:val="30"/>
        </w:rPr>
      </w:pPr>
      <w:r>
        <w:rPr>
          <w:rFonts w:hint="eastAsia" w:ascii="黑体" w:hAnsi="黑体" w:eastAsia="黑体" w:cs="黑体"/>
          <w:color w:val="212529"/>
          <w:sz w:val="30"/>
          <w:szCs w:val="30"/>
        </w:rPr>
        <w:t>五、商务要求</w:t>
      </w:r>
    </w:p>
    <w:p w14:paraId="329352C8">
      <w:pPr>
        <w:spacing w:after="0" w:line="360" w:lineRule="auto"/>
        <w:ind w:firstLine="600" w:firstLineChars="200"/>
        <w:rPr>
          <w:rFonts w:hint="eastAsia" w:ascii="仿宋" w:hAnsi="仿宋" w:eastAsia="仿宋" w:cs="黑体"/>
          <w:color w:val="212529"/>
          <w:sz w:val="30"/>
          <w:szCs w:val="30"/>
        </w:rPr>
      </w:pPr>
      <w:r>
        <w:rPr>
          <w:rFonts w:hint="eastAsia" w:ascii="仿宋" w:hAnsi="仿宋" w:eastAsia="仿宋" w:cs="黑体"/>
          <w:color w:val="212529"/>
          <w:sz w:val="30"/>
          <w:szCs w:val="30"/>
        </w:rPr>
        <w:t>1、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服务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期限：本项目服务期限为三年，合同一年一签。</w:t>
      </w:r>
    </w:p>
    <w:p w14:paraId="58DB82CB">
      <w:pPr>
        <w:spacing w:after="0" w:line="360" w:lineRule="auto"/>
        <w:ind w:firstLine="600" w:firstLineChars="200"/>
        <w:rPr>
          <w:rFonts w:hint="eastAsia" w:ascii="仿宋" w:hAnsi="仿宋" w:eastAsia="仿宋" w:cs="黑体"/>
          <w:color w:val="212529"/>
          <w:sz w:val="30"/>
          <w:szCs w:val="30"/>
        </w:rPr>
      </w:pPr>
      <w:r>
        <w:rPr>
          <w:rFonts w:hint="eastAsia" w:ascii="仿宋" w:hAnsi="仿宋" w:eastAsia="仿宋" w:cs="黑体"/>
          <w:color w:val="212529"/>
          <w:sz w:val="30"/>
          <w:szCs w:val="30"/>
        </w:rPr>
        <w:t>2、</w:t>
      </w:r>
      <w:r>
        <w:rPr>
          <w:rFonts w:ascii="仿宋" w:hAnsi="仿宋" w:eastAsia="仿宋" w:cs="仿宋"/>
          <w:spacing w:val="-1"/>
          <w:position w:val="2"/>
          <w:sz w:val="28"/>
          <w:szCs w:val="28"/>
        </w:rPr>
        <w:t>服务地点：成都市血液中心指定场地（中心内化粪池、污水处理站污泥池及相关污水井道等区域）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。</w:t>
      </w:r>
    </w:p>
    <w:p w14:paraId="3A354F18">
      <w:pPr>
        <w:spacing w:after="0" w:line="360" w:lineRule="auto"/>
        <w:ind w:firstLine="600" w:firstLineChars="200"/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</w:pPr>
      <w:r>
        <w:rPr>
          <w:rFonts w:hint="eastAsia" w:ascii="仿宋" w:hAnsi="仿宋" w:eastAsia="仿宋" w:cs="黑体"/>
          <w:color w:val="212529"/>
          <w:sz w:val="30"/>
          <w:szCs w:val="30"/>
        </w:rPr>
        <w:t>3、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付款方式：合同签订后10个工作日内且收到供应商提供的合法、有效的增值税发票后，采购人支付合同金额的50%；供应商完成本合同约定的全部污泥清理、清运及无害化处置工作，经采购人验收合格并收到供应商提供的合法、有效的增值税发票后10个工作日内，采购人支付合同金额的剩余50%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。</w:t>
      </w:r>
    </w:p>
    <w:p w14:paraId="7AE668F6">
      <w:pPr>
        <w:spacing w:after="0" w:line="360" w:lineRule="auto"/>
        <w:ind w:firstLine="600" w:firstLineChars="200"/>
        <w:rPr>
          <w:rFonts w:hint="default" w:ascii="仿宋" w:hAnsi="仿宋" w:eastAsia="仿宋" w:cs="黑体"/>
          <w:color w:val="212529"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人员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：每次现场清理作业至少配置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名工作人员，其中管理人员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名（须具备给排水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/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环境工程相关专业知识及医疗污泥处置管理经验）、施工人员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名（经专业安全培训合格、操作熟练）；另额外配置</w:t>
      </w: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名专职安全监督人员，全程跟踪作业；运输环节配备持证上岗的合格驾驶人员和押运人员。</w:t>
      </w:r>
    </w:p>
    <w:p w14:paraId="57426AA1">
      <w:pPr>
        <w:spacing w:after="0" w:line="360" w:lineRule="auto"/>
        <w:ind w:firstLine="600" w:firstLineChars="200"/>
        <w:rPr>
          <w:rFonts w:hint="default" w:ascii="仿宋" w:hAnsi="仿宋" w:eastAsia="仿宋" w:cs="黑体"/>
          <w:color w:val="212529"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履约验收：采购人以本项目服务要求、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响应文件及双方签订的合同为依据，参照《财政部关于进一步加强政府采购需求和履约验收管理的指导意见》（财库〔2016〕205号）组织验收，验收标准为污泥清掏彻底、场地清洁无二次污染、转运处置合规、相关资料完整有效、人员及作业流程符合要求。</w:t>
      </w:r>
    </w:p>
    <w:p w14:paraId="017D66B1">
      <w:pPr>
        <w:spacing w:after="0" w:line="360" w:lineRule="auto"/>
        <w:ind w:firstLine="600" w:firstLineChars="200"/>
        <w:rPr>
          <w:rFonts w:hint="default" w:ascii="仿宋" w:hAnsi="仿宋" w:eastAsia="仿宋" w:cs="黑体"/>
          <w:color w:val="212529"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color w:val="212529"/>
          <w:sz w:val="30"/>
          <w:szCs w:val="30"/>
          <w:lang w:val="en-US" w:eastAsia="zh-CN"/>
        </w:rPr>
        <w:t>6、违约责任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：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须严格遵守国家及地方环保、安全生产相关法律法规，因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操作不当、管理不善造成的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环境污染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、安全事故、财产损失及人身伤亡，均由</w:t>
      </w:r>
      <w:r>
        <w:rPr>
          <w:rFonts w:hint="eastAsia" w:ascii="仿宋" w:hAnsi="仿宋" w:eastAsia="仿宋" w:cs="黑体"/>
          <w:color w:val="212529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黑体"/>
          <w:color w:val="212529"/>
          <w:sz w:val="30"/>
          <w:szCs w:val="30"/>
        </w:rPr>
        <w:t>承担全部责任。</w:t>
      </w:r>
    </w:p>
    <w:p w14:paraId="6832AC13">
      <w:pPr>
        <w:adjustRightInd/>
        <w:snapToGrid/>
        <w:spacing w:after="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7B0032EF">
      <w:pPr>
        <w:adjustRightInd/>
        <w:snapToGrid/>
        <w:spacing w:after="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18" w:right="1440" w:bottom="1418" w:left="1440" w:header="851" w:footer="992" w:gutter="0"/>
          <w:cols w:space="425" w:num="1"/>
          <w:docGrid w:type="linesAndChars" w:linePitch="312" w:charSpace="0"/>
        </w:sectPr>
      </w:pPr>
    </w:p>
    <w:p w14:paraId="51AEF974">
      <w:pPr>
        <w:adjustRightInd/>
        <w:snapToGrid/>
        <w:spacing w:after="0"/>
        <w:jc w:val="center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  <w:lang w:eastAsia="zh-CN"/>
        </w:rPr>
        <w:t>成都市血液中心2026年医疗污泥处理技术服务采购项目</w:t>
      </w:r>
      <w:r>
        <w:rPr>
          <w:rFonts w:hint="eastAsia" w:ascii="仿宋" w:hAnsi="仿宋" w:eastAsia="仿宋" w:cs="Segoe UI"/>
          <w:color w:val="212529"/>
          <w:sz w:val="30"/>
          <w:szCs w:val="30"/>
        </w:rPr>
        <w:t>报价单</w:t>
      </w:r>
    </w:p>
    <w:tbl>
      <w:tblPr>
        <w:tblStyle w:val="8"/>
        <w:tblW w:w="13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5368"/>
        <w:gridCol w:w="1134"/>
        <w:gridCol w:w="1134"/>
        <w:gridCol w:w="4961"/>
      </w:tblGrid>
      <w:tr w14:paraId="489A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49" w:type="dxa"/>
            <w:vAlign w:val="center"/>
          </w:tcPr>
          <w:p w14:paraId="40A4B015">
            <w:pPr>
              <w:widowControl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序号</w:t>
            </w:r>
          </w:p>
        </w:tc>
        <w:tc>
          <w:tcPr>
            <w:tcW w:w="5368" w:type="dxa"/>
            <w:vAlign w:val="center"/>
          </w:tcPr>
          <w:p w14:paraId="0903E069">
            <w:pPr>
              <w:widowControl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74C4DA42">
            <w:pPr>
              <w:widowControl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数量</w:t>
            </w:r>
          </w:p>
        </w:tc>
        <w:tc>
          <w:tcPr>
            <w:tcW w:w="1134" w:type="dxa"/>
            <w:vAlign w:val="center"/>
          </w:tcPr>
          <w:p w14:paraId="3EF60612">
            <w:pPr>
              <w:widowControl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单位</w:t>
            </w:r>
          </w:p>
        </w:tc>
        <w:tc>
          <w:tcPr>
            <w:tcW w:w="4961" w:type="dxa"/>
            <w:vAlign w:val="center"/>
          </w:tcPr>
          <w:p w14:paraId="7F53B02F">
            <w:pPr>
              <w:widowControl w:val="0"/>
              <w:adjustRightInd/>
              <w:snapToGrid/>
              <w:spacing w:line="400" w:lineRule="exact"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报价（元/</w:t>
            </w: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）</w:t>
            </w:r>
          </w:p>
        </w:tc>
      </w:tr>
      <w:tr w14:paraId="12E3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9" w:type="dxa"/>
            <w:vAlign w:val="center"/>
          </w:tcPr>
          <w:p w14:paraId="7D223F0D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1</w:t>
            </w:r>
          </w:p>
        </w:tc>
        <w:tc>
          <w:tcPr>
            <w:tcW w:w="5368" w:type="dxa"/>
            <w:vAlign w:val="center"/>
          </w:tcPr>
          <w:p w14:paraId="25D9C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2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  <w:t>成都市血液中心2026年医疗污泥处理技术服务采购项目</w:t>
            </w:r>
          </w:p>
        </w:tc>
        <w:tc>
          <w:tcPr>
            <w:tcW w:w="1134" w:type="dxa"/>
            <w:vAlign w:val="center"/>
          </w:tcPr>
          <w:p w14:paraId="2F66E8A3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19F791AE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4961" w:type="dxa"/>
            <w:vAlign w:val="center"/>
          </w:tcPr>
          <w:p w14:paraId="499C793B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</w:p>
        </w:tc>
      </w:tr>
      <w:tr w14:paraId="6418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749" w:type="dxa"/>
            <w:vAlign w:val="center"/>
          </w:tcPr>
          <w:p w14:paraId="43BEEDF8">
            <w:pPr>
              <w:widowControl w:val="0"/>
              <w:adjustRightInd/>
              <w:snapToGrid/>
              <w:ind w:left="-440" w:leftChars="-200" w:right="-440" w:rightChars="-200"/>
              <w:jc w:val="center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  <w:t>备注</w:t>
            </w:r>
          </w:p>
        </w:tc>
        <w:tc>
          <w:tcPr>
            <w:tcW w:w="12597" w:type="dxa"/>
            <w:gridSpan w:val="4"/>
            <w:vAlign w:val="center"/>
          </w:tcPr>
          <w:p w14:paraId="0EBC2D0C">
            <w:pPr>
              <w:widowControl w:val="0"/>
              <w:adjustRightInd/>
              <w:snapToGrid/>
              <w:ind w:right="-440" w:rightChars="-200"/>
              <w:jc w:val="left"/>
              <w:rPr>
                <w:rFonts w:hint="eastAsia" w:ascii="仿宋" w:hAnsi="仿宋" w:eastAsia="仿宋" w:cs="Segoe UI"/>
                <w:color w:val="212529"/>
                <w:sz w:val="28"/>
                <w:szCs w:val="28"/>
              </w:rPr>
            </w:pPr>
          </w:p>
        </w:tc>
      </w:tr>
    </w:tbl>
    <w:p w14:paraId="2757A605">
      <w:pPr>
        <w:widowControl w:val="0"/>
        <w:adjustRightInd/>
        <w:snapToGrid/>
        <w:spacing w:after="0" w:line="360" w:lineRule="auto"/>
        <w:ind w:firstLine="600" w:firstLineChars="200"/>
        <w:jc w:val="both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</w:rPr>
        <w:t>报价公司：</w:t>
      </w:r>
    </w:p>
    <w:p w14:paraId="6888DFDC">
      <w:pPr>
        <w:widowControl w:val="0"/>
        <w:adjustRightInd/>
        <w:snapToGrid/>
        <w:spacing w:after="0" w:line="360" w:lineRule="auto"/>
        <w:ind w:firstLine="600" w:firstLineChars="200"/>
        <w:jc w:val="both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</w:rPr>
        <w:t xml:space="preserve">联系人：                                  </w:t>
      </w:r>
    </w:p>
    <w:p w14:paraId="6600F727">
      <w:pPr>
        <w:widowControl w:val="0"/>
        <w:adjustRightInd/>
        <w:snapToGrid/>
        <w:spacing w:after="0" w:line="360" w:lineRule="auto"/>
        <w:ind w:firstLine="600" w:firstLineChars="200"/>
        <w:jc w:val="both"/>
        <w:rPr>
          <w:rFonts w:hint="eastAsia" w:ascii="仿宋" w:hAnsi="仿宋" w:eastAsia="仿宋" w:cs="Segoe UI"/>
          <w:color w:val="212529"/>
          <w:sz w:val="30"/>
          <w:szCs w:val="30"/>
        </w:rPr>
      </w:pPr>
      <w:r>
        <w:rPr>
          <w:rFonts w:hint="eastAsia" w:ascii="仿宋" w:hAnsi="仿宋" w:eastAsia="仿宋" w:cs="Segoe UI"/>
          <w:color w:val="212529"/>
          <w:sz w:val="30"/>
          <w:szCs w:val="30"/>
        </w:rPr>
        <w:t>联系电话：</w:t>
      </w:r>
    </w:p>
    <w:p w14:paraId="4E167327">
      <w:pPr>
        <w:adjustRightInd/>
        <w:snapToGrid/>
        <w:spacing w:after="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6CC713-ED7C-4FBD-8C32-30708AA4C8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1B6F5BF-06B7-4A98-A25C-84ABDC92337C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72159578-D934-4E0F-AE05-ED04B51C6A7C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4" w:fontKey="{38859BDD-379A-4479-B8BC-87FC826534B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25F8702-5529-419B-9FF6-46C3AF37D20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YjVjNzEwYzAyMGRjM2RkYzMwYTFiMDgxNDY4NTYifQ=="/>
  </w:docVars>
  <w:rsids>
    <w:rsidRoot w:val="37E87FE5"/>
    <w:rsid w:val="00017353"/>
    <w:rsid w:val="00052BD4"/>
    <w:rsid w:val="000D2873"/>
    <w:rsid w:val="000E1928"/>
    <w:rsid w:val="00143880"/>
    <w:rsid w:val="00191E7D"/>
    <w:rsid w:val="002178B5"/>
    <w:rsid w:val="002D5A17"/>
    <w:rsid w:val="003342E9"/>
    <w:rsid w:val="003A3C8B"/>
    <w:rsid w:val="003D5593"/>
    <w:rsid w:val="00414389"/>
    <w:rsid w:val="00432195"/>
    <w:rsid w:val="00463A35"/>
    <w:rsid w:val="004C7D33"/>
    <w:rsid w:val="005756F0"/>
    <w:rsid w:val="005A1A95"/>
    <w:rsid w:val="005C5D22"/>
    <w:rsid w:val="006835BD"/>
    <w:rsid w:val="006A595A"/>
    <w:rsid w:val="006C2335"/>
    <w:rsid w:val="007966E4"/>
    <w:rsid w:val="007B7556"/>
    <w:rsid w:val="007E1A2A"/>
    <w:rsid w:val="008F4329"/>
    <w:rsid w:val="00947AFE"/>
    <w:rsid w:val="009669F7"/>
    <w:rsid w:val="009E52EB"/>
    <w:rsid w:val="009F1383"/>
    <w:rsid w:val="00A23131"/>
    <w:rsid w:val="00A57021"/>
    <w:rsid w:val="00A61BC1"/>
    <w:rsid w:val="00A90028"/>
    <w:rsid w:val="00AE4B37"/>
    <w:rsid w:val="00B05D60"/>
    <w:rsid w:val="00B305C6"/>
    <w:rsid w:val="00BA0CAA"/>
    <w:rsid w:val="00BD2961"/>
    <w:rsid w:val="00BD34C4"/>
    <w:rsid w:val="00C40616"/>
    <w:rsid w:val="00C44AC7"/>
    <w:rsid w:val="00C52849"/>
    <w:rsid w:val="00D11BC4"/>
    <w:rsid w:val="00D15293"/>
    <w:rsid w:val="00D42ADB"/>
    <w:rsid w:val="00DD1440"/>
    <w:rsid w:val="00ED3563"/>
    <w:rsid w:val="00F12AD7"/>
    <w:rsid w:val="00F525D0"/>
    <w:rsid w:val="00F649D5"/>
    <w:rsid w:val="00F9241E"/>
    <w:rsid w:val="00FA40C7"/>
    <w:rsid w:val="00FE23D0"/>
    <w:rsid w:val="019D5E1F"/>
    <w:rsid w:val="01BE0275"/>
    <w:rsid w:val="022D051A"/>
    <w:rsid w:val="029702A0"/>
    <w:rsid w:val="029A3F4E"/>
    <w:rsid w:val="03F25E4D"/>
    <w:rsid w:val="04655858"/>
    <w:rsid w:val="05F45A09"/>
    <w:rsid w:val="060F41F5"/>
    <w:rsid w:val="08C169AF"/>
    <w:rsid w:val="0B262A11"/>
    <w:rsid w:val="0B5D1734"/>
    <w:rsid w:val="0C1C1F80"/>
    <w:rsid w:val="0C5C0A4B"/>
    <w:rsid w:val="0D1D346E"/>
    <w:rsid w:val="0E5928AD"/>
    <w:rsid w:val="0FDB0A7B"/>
    <w:rsid w:val="11921E36"/>
    <w:rsid w:val="11AA6925"/>
    <w:rsid w:val="132E63D4"/>
    <w:rsid w:val="15140F7B"/>
    <w:rsid w:val="159E41C1"/>
    <w:rsid w:val="1A2E4BEE"/>
    <w:rsid w:val="1A72041A"/>
    <w:rsid w:val="1B7671A9"/>
    <w:rsid w:val="1EE62F4C"/>
    <w:rsid w:val="207F4AB1"/>
    <w:rsid w:val="221B4339"/>
    <w:rsid w:val="22722841"/>
    <w:rsid w:val="247E48F6"/>
    <w:rsid w:val="298F1827"/>
    <w:rsid w:val="29E51041"/>
    <w:rsid w:val="2C1B3EE2"/>
    <w:rsid w:val="2D2A7E89"/>
    <w:rsid w:val="2EDE49DD"/>
    <w:rsid w:val="2FC02BC6"/>
    <w:rsid w:val="33192CB4"/>
    <w:rsid w:val="33A72461"/>
    <w:rsid w:val="33D97549"/>
    <w:rsid w:val="346017F6"/>
    <w:rsid w:val="3614022B"/>
    <w:rsid w:val="364934A3"/>
    <w:rsid w:val="369D1B60"/>
    <w:rsid w:val="36E21E20"/>
    <w:rsid w:val="37E87FE5"/>
    <w:rsid w:val="3A7E3BE5"/>
    <w:rsid w:val="3CD63197"/>
    <w:rsid w:val="3D4608B1"/>
    <w:rsid w:val="40DF4491"/>
    <w:rsid w:val="42D02F31"/>
    <w:rsid w:val="43D45F57"/>
    <w:rsid w:val="48CB7A77"/>
    <w:rsid w:val="498875C7"/>
    <w:rsid w:val="4AAD66F2"/>
    <w:rsid w:val="4C433374"/>
    <w:rsid w:val="4C801545"/>
    <w:rsid w:val="4DCC356C"/>
    <w:rsid w:val="4E37780E"/>
    <w:rsid w:val="4E567541"/>
    <w:rsid w:val="4FC35D98"/>
    <w:rsid w:val="5063448F"/>
    <w:rsid w:val="51622C72"/>
    <w:rsid w:val="53AA2830"/>
    <w:rsid w:val="53EA6F3F"/>
    <w:rsid w:val="56AD2923"/>
    <w:rsid w:val="5923730C"/>
    <w:rsid w:val="5D225702"/>
    <w:rsid w:val="60193217"/>
    <w:rsid w:val="64216B3E"/>
    <w:rsid w:val="653855DE"/>
    <w:rsid w:val="65E87914"/>
    <w:rsid w:val="6620794E"/>
    <w:rsid w:val="67352C5B"/>
    <w:rsid w:val="68A815DC"/>
    <w:rsid w:val="68DA7B32"/>
    <w:rsid w:val="6AC83A2C"/>
    <w:rsid w:val="6CD811FF"/>
    <w:rsid w:val="7103642E"/>
    <w:rsid w:val="746F2FAE"/>
    <w:rsid w:val="74937979"/>
    <w:rsid w:val="757A0115"/>
    <w:rsid w:val="76D14663"/>
    <w:rsid w:val="78CF4963"/>
    <w:rsid w:val="790E7239"/>
    <w:rsid w:val="7B0E1773"/>
    <w:rsid w:val="7B886F04"/>
    <w:rsid w:val="7BA24414"/>
    <w:rsid w:val="7C8215B6"/>
    <w:rsid w:val="7CD55ED5"/>
    <w:rsid w:val="7E47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rPr>
      <w:rFonts w:ascii="仿宋" w:hAnsi="仿宋" w:eastAsia="仿宋" w:cs="仿宋"/>
      <w:sz w:val="24"/>
      <w:lang w:val="zh-CN" w:bidi="zh-CN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7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Fließtext"/>
    <w:basedOn w:val="1"/>
    <w:qFormat/>
    <w:uiPriority w:val="99"/>
    <w:pPr>
      <w:overflowPunct w:val="0"/>
      <w:autoSpaceDE w:val="0"/>
      <w:autoSpaceDN w:val="0"/>
      <w:textAlignment w:val="baseline"/>
    </w:pPr>
    <w:rPr>
      <w:kern w:val="28"/>
    </w:rPr>
  </w:style>
  <w:style w:type="character" w:customStyle="1" w:styleId="14">
    <w:name w:val="页眉 字符"/>
    <w:basedOn w:val="9"/>
    <w:link w:val="6"/>
    <w:qFormat/>
    <w:uiPriority w:val="0"/>
    <w:rPr>
      <w:rFonts w:ascii="Tahoma" w:hAnsi="Tahoma" w:eastAsia="微软雅黑"/>
      <w:sz w:val="18"/>
      <w:szCs w:val="18"/>
    </w:rPr>
  </w:style>
  <w:style w:type="character" w:customStyle="1" w:styleId="15">
    <w:name w:val="页脚 字符"/>
    <w:basedOn w:val="9"/>
    <w:link w:val="5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2364</Words>
  <Characters>2488</Characters>
  <Lines>31</Lines>
  <Paragraphs>42</Paragraphs>
  <TotalTime>0</TotalTime>
  <ScaleCrop>false</ScaleCrop>
  <LinksUpToDate>false</LinksUpToDate>
  <CharactersWithSpaces>2493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2024-03-06T05:58:00Z</dcterms:created>
  <dc:creator>喵了个咪</dc:creator>
  <cp:lastModifiedBy>十贰岁</cp:lastModifiedBy>
  <cp:lastPrinted>2025-04-18T07:27:00Z</cp:lastPrinted>
  <dcterms:modified xsi:type="dcterms:W3CDTF">2026-04-14T07:44:53Z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4E3F788C8942455FB8973DB1BCE1AC5F_11</vt:lpwstr>
  </property>
  <property fmtid="{D5CDD505-2E9C-101B-9397-08002B2CF9AE}" pid="4" name="KSOTemplateDocerSaveRecord">
    <vt:lpwstr>eyJoZGlkIjoiZjAwZmMwODg2NDNhNWI0ODYxMDEwYmI3ZWUzZjU1MTMiLCJ1c2VySWQiOiIyMDkwMzM1MTUifQ==</vt:lpwstr>
  </property>
</Properties>
</file>