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CF549">
      <w:pPr>
        <w:keepNext w:val="0"/>
        <w:keepLines w:val="0"/>
        <w:pageBreakBefore w:val="0"/>
        <w:widowControl w:val="0"/>
        <w:kinsoku/>
        <w:wordWrap/>
        <w:overflowPunct/>
        <w:topLinePunct w:val="0"/>
        <w:autoSpaceDE/>
        <w:autoSpaceDN/>
        <w:bidi w:val="0"/>
        <w:adjustRightInd/>
        <w:snapToGrid/>
        <w:spacing w:after="0" w:line="640" w:lineRule="exact"/>
        <w:jc w:val="left"/>
        <w:textAlignment w:val="auto"/>
        <w:rPr>
          <w:rFonts w:hint="eastAsia" w:ascii="方正小标宋_GBK" w:hAnsi="方正小标宋_GBK" w:eastAsia="方正小标宋_GBK" w:cs="方正小标宋_GBK"/>
          <w:sz w:val="28"/>
          <w:szCs w:val="28"/>
          <w:lang w:eastAsia="zh-CN"/>
        </w:rPr>
      </w:pPr>
      <w:r>
        <w:rPr>
          <w:rFonts w:hint="eastAsia" w:ascii="方正小标宋_GBK" w:hAnsi="方正小标宋_GBK" w:eastAsia="方正小标宋_GBK" w:cs="方正小标宋_GBK"/>
          <w:sz w:val="28"/>
          <w:szCs w:val="28"/>
          <w:lang w:eastAsia="zh-CN"/>
        </w:rPr>
        <w:t>附件：</w:t>
      </w:r>
    </w:p>
    <w:p w14:paraId="3E18B08F">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_GBK" w:eastAsia="方正小标宋_GBK"/>
          <w:sz w:val="44"/>
          <w:szCs w:val="32"/>
          <w:lang w:val="en-US" w:eastAsia="zh-CN"/>
        </w:rPr>
      </w:pPr>
      <w:r>
        <w:rPr>
          <w:rFonts w:hint="eastAsia" w:ascii="方正小标宋_GBK" w:eastAsia="方正小标宋_GBK" w:cs="Times New Roman"/>
          <w:sz w:val="44"/>
          <w:szCs w:val="32"/>
          <w:lang w:val="en-US" w:eastAsia="zh-CN"/>
        </w:rPr>
        <w:t>成都市血液中心2024年LED显示屏采购项目</w:t>
      </w:r>
    </w:p>
    <w:p w14:paraId="68DD6B63">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00" w:firstLineChars="200"/>
        <w:jc w:val="both"/>
        <w:textAlignment w:val="auto"/>
        <w:rPr>
          <w:rFonts w:hint="eastAsia" w:ascii="仿宋" w:hAnsi="仿宋" w:eastAsia="仿宋" w:cs="Segoe UI"/>
          <w:color w:val="212529"/>
          <w:kern w:val="0"/>
          <w:sz w:val="30"/>
          <w:szCs w:val="30"/>
          <w:lang w:val="en-US" w:eastAsia="zh-CN"/>
        </w:rPr>
      </w:pPr>
      <w:r>
        <w:rPr>
          <w:rFonts w:hint="eastAsia" w:ascii="黑体" w:hAnsi="黑体" w:eastAsia="黑体" w:cs="黑体"/>
          <w:color w:val="212529"/>
          <w:kern w:val="0"/>
          <w:sz w:val="30"/>
          <w:szCs w:val="30"/>
          <w:lang w:val="en-US" w:eastAsia="zh-CN" w:bidi="ar-SA"/>
        </w:rPr>
        <w:t>一、</w:t>
      </w:r>
      <w:r>
        <w:rPr>
          <w:rFonts w:hint="eastAsia" w:ascii="黑体" w:hAnsi="黑体" w:eastAsia="黑体" w:cs="黑体"/>
          <w:color w:val="212529"/>
          <w:kern w:val="0"/>
          <w:sz w:val="30"/>
          <w:szCs w:val="30"/>
          <w:highlight w:val="none"/>
        </w:rPr>
        <w:t>项目</w:t>
      </w:r>
      <w:r>
        <w:rPr>
          <w:rFonts w:hint="eastAsia" w:ascii="黑体" w:hAnsi="黑体" w:eastAsia="黑体" w:cs="黑体"/>
          <w:color w:val="212529"/>
          <w:kern w:val="0"/>
          <w:sz w:val="30"/>
          <w:szCs w:val="30"/>
          <w:highlight w:val="none"/>
          <w:lang w:val="en-US" w:eastAsia="zh-CN"/>
        </w:rPr>
        <w:t>内容：</w:t>
      </w:r>
      <w:r>
        <w:rPr>
          <w:rFonts w:hint="eastAsia" w:ascii="仿宋" w:hAnsi="仿宋" w:eastAsia="仿宋" w:cs="Segoe UI"/>
          <w:color w:val="212529"/>
          <w:kern w:val="0"/>
          <w:sz w:val="30"/>
          <w:szCs w:val="30"/>
          <w:lang w:val="en-US" w:eastAsia="zh-CN"/>
        </w:rPr>
        <w:t>成都市血液中心2024年LED采购项目</w:t>
      </w:r>
    </w:p>
    <w:p w14:paraId="152BF0A5">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02" w:firstLineChars="200"/>
        <w:jc w:val="both"/>
        <w:textAlignment w:val="auto"/>
        <w:rPr>
          <w:rFonts w:hint="default" w:ascii="仿宋" w:hAnsi="仿宋" w:eastAsia="仿宋" w:cs="Segoe UI"/>
          <w:color w:val="212529"/>
          <w:kern w:val="0"/>
          <w:sz w:val="30"/>
          <w:szCs w:val="30"/>
          <w:lang w:val="en-US" w:eastAsia="zh-CN"/>
        </w:rPr>
      </w:pPr>
      <w:r>
        <w:rPr>
          <w:rFonts w:hint="eastAsia" w:ascii="黑体" w:hAnsi="黑体" w:eastAsia="黑体" w:cs="黑体"/>
          <w:b/>
          <w:bCs/>
          <w:color w:val="212529"/>
          <w:kern w:val="0"/>
          <w:sz w:val="30"/>
          <w:szCs w:val="30"/>
          <w:lang w:val="en-US" w:eastAsia="zh-CN" w:bidi="ar-SA"/>
        </w:rPr>
        <w:t>二、</w:t>
      </w:r>
      <w:r>
        <w:rPr>
          <w:rFonts w:hint="eastAsia" w:ascii="黑体" w:hAnsi="黑体" w:eastAsia="黑体" w:cs="黑体"/>
          <w:color w:val="212529"/>
          <w:kern w:val="0"/>
          <w:sz w:val="30"/>
          <w:szCs w:val="30"/>
          <w:lang w:val="en-US" w:eastAsia="zh-CN" w:bidi="ar-SA"/>
        </w:rPr>
        <w:t>项目概况：</w:t>
      </w:r>
      <w:r>
        <w:rPr>
          <w:rFonts w:hint="eastAsia" w:ascii="仿宋" w:hAnsi="仿宋" w:eastAsia="仿宋" w:cs="Segoe UI"/>
          <w:color w:val="212529"/>
          <w:kern w:val="0"/>
          <w:sz w:val="30"/>
          <w:szCs w:val="30"/>
          <w:lang w:val="en-US" w:eastAsia="zh-CN"/>
        </w:rPr>
        <w:t>为保证中心采供血业务正常开展，现拟购LED显示屏一批。预算31000.00元。</w:t>
      </w:r>
    </w:p>
    <w:p w14:paraId="68B19781">
      <w:pPr>
        <w:keepNext w:val="0"/>
        <w:keepLines w:val="0"/>
        <w:pageBreakBefore w:val="0"/>
        <w:widowControl/>
        <w:kinsoku/>
        <w:wordWrap/>
        <w:overflowPunct/>
        <w:topLinePunct w:val="0"/>
        <w:autoSpaceDE/>
        <w:autoSpaceDN/>
        <w:bidi w:val="0"/>
        <w:adjustRightInd/>
        <w:snapToGrid w:val="0"/>
        <w:spacing w:line="360" w:lineRule="auto"/>
        <w:ind w:firstLine="600" w:firstLineChars="200"/>
        <w:jc w:val="both"/>
        <w:textAlignment w:val="auto"/>
        <w:outlineLvl w:val="9"/>
        <w:rPr>
          <w:rFonts w:hint="eastAsia" w:ascii="仿宋" w:hAnsi="仿宋" w:eastAsia="仿宋" w:cs="Segoe UI"/>
          <w:color w:val="212529"/>
          <w:kern w:val="0"/>
          <w:sz w:val="30"/>
          <w:szCs w:val="30"/>
          <w:lang w:val="en-US" w:eastAsia="zh-CN"/>
        </w:rPr>
      </w:pPr>
      <w:r>
        <w:rPr>
          <w:rFonts w:hint="eastAsia" w:ascii="黑体" w:hAnsi="黑体" w:eastAsia="黑体" w:cs="黑体"/>
          <w:color w:val="212529"/>
          <w:kern w:val="0"/>
          <w:sz w:val="30"/>
          <w:szCs w:val="30"/>
          <w:lang w:val="en-US" w:eastAsia="zh-CN" w:bidi="ar-SA"/>
        </w:rPr>
        <w:t>三、付款方式：</w:t>
      </w:r>
      <w:bookmarkStart w:id="0" w:name="_GoBack"/>
      <w:r>
        <w:rPr>
          <w:rFonts w:hint="eastAsia" w:ascii="仿宋" w:hAnsi="仿宋" w:eastAsia="仿宋" w:cs="Segoe UI"/>
          <w:color w:val="212529"/>
          <w:kern w:val="0"/>
          <w:sz w:val="30"/>
          <w:szCs w:val="30"/>
          <w:lang w:val="en-US" w:eastAsia="zh-CN"/>
        </w:rPr>
        <w:t>合同签订后并收到乙方提供请款申请后，十五日内甲方向乙方预付合同总金额的80%；验收合格后十五日内，并收到乙方提供的等值合格发票后；甲方向乙方支付剩余合同金额。</w:t>
      </w:r>
    </w:p>
    <w:bookmarkEnd w:id="0"/>
    <w:p w14:paraId="098B594B">
      <w:pPr>
        <w:keepNext w:val="0"/>
        <w:keepLines w:val="0"/>
        <w:pageBreakBefore w:val="0"/>
        <w:widowControl/>
        <w:kinsoku/>
        <w:wordWrap/>
        <w:overflowPunct/>
        <w:topLinePunct w:val="0"/>
        <w:autoSpaceDE/>
        <w:autoSpaceDN/>
        <w:bidi w:val="0"/>
        <w:adjustRightInd/>
        <w:snapToGrid w:val="0"/>
        <w:spacing w:after="0" w:line="360" w:lineRule="auto"/>
        <w:ind w:firstLine="600" w:firstLineChars="200"/>
        <w:jc w:val="both"/>
        <w:textAlignment w:val="auto"/>
        <w:outlineLvl w:val="9"/>
        <w:rPr>
          <w:rFonts w:hint="eastAsia" w:ascii="黑体" w:hAnsi="黑体" w:eastAsia="黑体" w:cs="黑体"/>
          <w:color w:val="212529"/>
          <w:kern w:val="0"/>
          <w:sz w:val="30"/>
          <w:szCs w:val="30"/>
          <w:lang w:val="en-US" w:eastAsia="zh-CN" w:bidi="ar-SA"/>
        </w:rPr>
      </w:pPr>
      <w:r>
        <w:rPr>
          <w:rFonts w:hint="eastAsia" w:ascii="黑体" w:hAnsi="黑体" w:eastAsia="黑体" w:cs="黑体"/>
          <w:color w:val="212529"/>
          <w:kern w:val="0"/>
          <w:sz w:val="30"/>
          <w:szCs w:val="30"/>
          <w:lang w:val="en-US" w:eastAsia="zh-CN" w:bidi="ar-SA"/>
        </w:rPr>
        <w:t>四、技术要求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750"/>
        <w:gridCol w:w="804"/>
        <w:gridCol w:w="6573"/>
        <w:gridCol w:w="696"/>
        <w:gridCol w:w="763"/>
        <w:gridCol w:w="1378"/>
        <w:gridCol w:w="1363"/>
        <w:gridCol w:w="914"/>
      </w:tblGrid>
      <w:tr w14:paraId="30D8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Pr>
          <w:p w14:paraId="73A66853">
            <w:pPr>
              <w:widowControl w:val="0"/>
              <w:jc w:val="both"/>
              <w:rPr>
                <w:rFonts w:hint="default"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序号</w:t>
            </w:r>
          </w:p>
        </w:tc>
        <w:tc>
          <w:tcPr>
            <w:tcW w:w="750" w:type="dxa"/>
          </w:tcPr>
          <w:p w14:paraId="33B65DB8">
            <w:pPr>
              <w:widowControl w:val="0"/>
              <w:jc w:val="both"/>
              <w:rPr>
                <w:rFonts w:hint="default"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品名</w:t>
            </w:r>
          </w:p>
        </w:tc>
        <w:tc>
          <w:tcPr>
            <w:tcW w:w="804" w:type="dxa"/>
          </w:tcPr>
          <w:p w14:paraId="73C095DC">
            <w:pPr>
              <w:widowControl w:val="0"/>
              <w:jc w:val="both"/>
              <w:rPr>
                <w:rFonts w:hint="default"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型号</w:t>
            </w:r>
          </w:p>
        </w:tc>
        <w:tc>
          <w:tcPr>
            <w:tcW w:w="6573" w:type="dxa"/>
          </w:tcPr>
          <w:p w14:paraId="7D5E3F51">
            <w:pPr>
              <w:widowControl w:val="0"/>
              <w:jc w:val="both"/>
              <w:rPr>
                <w:rFonts w:hint="default"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技术参数</w:t>
            </w:r>
          </w:p>
        </w:tc>
        <w:tc>
          <w:tcPr>
            <w:tcW w:w="696" w:type="dxa"/>
          </w:tcPr>
          <w:p w14:paraId="0C720AAF">
            <w:pPr>
              <w:widowControl w:val="0"/>
              <w:jc w:val="both"/>
              <w:rPr>
                <w:rFonts w:hint="default"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单位</w:t>
            </w:r>
          </w:p>
        </w:tc>
        <w:tc>
          <w:tcPr>
            <w:tcW w:w="763" w:type="dxa"/>
          </w:tcPr>
          <w:p w14:paraId="0E8AC0F7">
            <w:pPr>
              <w:widowControl w:val="0"/>
              <w:jc w:val="both"/>
              <w:rPr>
                <w:rFonts w:hint="default"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数量</w:t>
            </w:r>
          </w:p>
        </w:tc>
        <w:tc>
          <w:tcPr>
            <w:tcW w:w="1378" w:type="dxa"/>
          </w:tcPr>
          <w:p w14:paraId="4F7555CE">
            <w:pPr>
              <w:widowControl w:val="0"/>
              <w:jc w:val="both"/>
              <w:rPr>
                <w:rFonts w:hint="default"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投标单价（元）</w:t>
            </w:r>
          </w:p>
        </w:tc>
        <w:tc>
          <w:tcPr>
            <w:tcW w:w="1363" w:type="dxa"/>
          </w:tcPr>
          <w:p w14:paraId="66CF0670">
            <w:pPr>
              <w:widowControl w:val="0"/>
              <w:jc w:val="both"/>
              <w:rPr>
                <w:rFonts w:hint="default"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投标总价（元）</w:t>
            </w:r>
          </w:p>
        </w:tc>
        <w:tc>
          <w:tcPr>
            <w:tcW w:w="914" w:type="dxa"/>
          </w:tcPr>
          <w:p w14:paraId="188AB5AA">
            <w:pPr>
              <w:widowControl w:val="0"/>
              <w:jc w:val="both"/>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备注</w:t>
            </w:r>
          </w:p>
        </w:tc>
      </w:tr>
      <w:tr w14:paraId="361B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Pr>
          <w:p w14:paraId="2511145C">
            <w:pPr>
              <w:widowControl w:val="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w:t>
            </w:r>
          </w:p>
        </w:tc>
        <w:tc>
          <w:tcPr>
            <w:tcW w:w="750" w:type="dxa"/>
          </w:tcPr>
          <w:p w14:paraId="7E3B1FCD">
            <w:pPr>
              <w:widowControl w:val="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LED室内全彩模组</w:t>
            </w:r>
          </w:p>
        </w:tc>
        <w:tc>
          <w:tcPr>
            <w:tcW w:w="804" w:type="dxa"/>
            <w:shd w:val="clear" w:color="auto" w:fill="auto"/>
            <w:vAlign w:val="center"/>
          </w:tcPr>
          <w:p w14:paraId="4E2F2E6A">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bidi="ar-SA"/>
              </w:rPr>
            </w:pPr>
            <w:r>
              <w:rPr>
                <w:rStyle w:val="8"/>
                <w:rFonts w:hint="eastAsia" w:ascii="仿宋" w:hAnsi="仿宋" w:eastAsia="仿宋" w:cs="仿宋"/>
                <w:sz w:val="21"/>
                <w:szCs w:val="21"/>
                <w:lang w:val="en-US" w:eastAsia="zh-CN" w:bidi="ar"/>
              </w:rPr>
              <w:t>室内P1.86（刷新</w:t>
            </w:r>
            <w:r>
              <w:rPr>
                <w:rStyle w:val="9"/>
                <w:rFonts w:hint="eastAsia" w:ascii="仿宋" w:hAnsi="仿宋" w:eastAsia="仿宋" w:cs="仿宋"/>
                <w:sz w:val="21"/>
                <w:szCs w:val="21"/>
                <w:lang w:val="en-US" w:eastAsia="zh-CN" w:bidi="ar"/>
              </w:rPr>
              <w:t>3840）</w:t>
            </w:r>
          </w:p>
        </w:tc>
        <w:tc>
          <w:tcPr>
            <w:tcW w:w="6573" w:type="dxa"/>
            <w:shd w:val="clear" w:color="auto" w:fill="auto"/>
            <w:vAlign w:val="center"/>
          </w:tcPr>
          <w:p w14:paraId="3C404DA1">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1、像素点间距：≤1.8mm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单元板分辨率：≥14792 Dots</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2、刷新率：≥3840Hz，支持通过配套控制软件调节刷新率设置选项（提供具有CNAS、CMA认可标识的第三方权威检测机构出具的产品检验报告予以佐证）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3、像素构成：1R、1G、1B</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4、封装方式：SMD表贴三合一，铜线封装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5、驱动方式：恒流驱动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6、控制方式：同步控制系统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7、维护方式：前后双向维护</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8、整屏平整度≤0.04mm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白平衡亮度：0-700cd/㎡可调，亮度调节：0-100%亮度可调，256级手动/自动调节，屏幕亮度具有随环境照度的变化任意调整功能，亮度均匀性≥99%（提供具有CNAS、CMA认可标识的第三方权威检测机构出具的产品检验报告予以佐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10、色温800K-18000K可调；白平衡状态下色温在6500K±5%；色温为6500K时，100%75%50%25%档电平白场调节色温误差≤100K</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11、水平视角≥170°；垂直视角≥170°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12、对比度≥8500：1</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13、峰值功耗≤300W/m²；平均功耗≤120W/m²</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14、供电电源：在4.2*（1±10%）VDC～4.5*（1±10%）VDC范围内能正常工作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15、输入电压：支持宽压输入 在96-264VAC，支持窄压输入在200-240VAC，在该范围内能正常工作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16、防护性能：具有防静电、防电磁干扰、防腐蚀、防霉菌、防虫、防潮、抗震动、抗雷击等功能；具有电源过压、过流、断电保护、分布上电措施、防护等级达到IP60（提供具有CNAS、CMA认可标识的第三方权威检测机构出具的产品检验报告予以佐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17、色坐标X、Y坐标符合SJ/T11141-2017 5.10.5规定；色度均匀性±0.001Cx、Cy内；色域空间≥120% NTSC，LED显示屏ColorSPace覆盖率≥170%YUV(PAL)</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18、数据记忆储存于LED显示模块箱体中，更换箱体设备时，无需重新设定参数；支持采用电源双备份，两个电源互为备份方式，任一电源故障不影响屏体正常工作；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19、正常播放视频状态下点亮5分钟后产品表面温度升幅≤1.5℃，点亮10分钟后其温度升幅≤8℃；产品在白平衡状态下点亮5分钟后产品表面温度升幅≤8℃，点亮10分钟后其温度升幅≤18℃；产品正常使用工作达到热平衡状态后，屏体结构金属部分温度升幅≤30℃，绝缘材料温度升幅≤30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产品采用高端芯片，可智能调节正常工作与睡眠状态下的节能效果（动态节能，智能息屏），开启智能节电功能比没有开启节能50%以上（提供具有CNAS、CMA认可标识的第三方权威检测机构出具的产品检验报告予以佐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21、保证箱体拼接的平整度和密闭防尘性；支持箱体拼接自动对位设计；具有拼缝微调功能；箱体支持X/Y/Z六向调节，可实现屏幕上下左右拼缝及前后平整度任意调节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22、屏幕表面光反射率，照度=10Lux/5600K条件下， 显示屏屏幕表面光反射率 （单位面积反射亮度）＜3.0cd/m²（提供具有CNAS、CMA认可标识的第三方权威检测机构出具的产品检验报告予以佐证）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23、具备防蓝光护眼功能，蓝光辐射能量≤20%。蓝光辐射能量值对人眼视网膜无伤害，LED显示屏蓝光辐亮度≤0.5W.m-2.sr-1,符合肉眼观看标准。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24、支持PPA碗杯结构、点胶封装、出光方式为单面发光；显示面采用高强度化学防护材质，防碰撞、耐冲击、高耐磨、抗腐蚀、防划痕，可直接擦拭LED附着力≥100N；在灯珠四侧以水平 夹角 45°的方向施加推力 15N，灯珠未破碎或脱落。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25、显示屏所使用的材料及元器件均符合《SJ/T11363-2016电子信息产品中有毒有害物质的限定要求》符合环保要求的相关声明，根据《GB/T27050.1-2006合格评定供方的符合性声明第1部分：通用要求》 和《GB/T27050.2-2006合格评定供方的符合性声明第2部分：支持性文件》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26、支持鬼影消除、首行暗亮消除、低灰偏色补偿、低灰均匀性、低灰横条纹消除、慢速开启、十字架消除、去坏点、毛毛虫消除、余辉消除、亮度缓慢变亮功能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27、为保证产品使用安全，静电电压衰减期（±1000-±100V）≤2S；摩擦起电电压|V|≤100V（提供具有CNAS、CMA认可标识的第三方权威检测机构出具的产品检验报告予以佐证）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28、为保证产品信息传输稳定性，辐射干扰和传导干扰，均需符合GB/T9254-2021 ClassB限值要求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29、为了保证产品质量，中标供应商应在签订合同前提供制造商原厂针对本项目的授权书与售后承诺函，否则取消供应商中标资格。</w:t>
            </w:r>
          </w:p>
        </w:tc>
        <w:tc>
          <w:tcPr>
            <w:tcW w:w="696" w:type="dxa"/>
            <w:shd w:val="clear" w:color="auto" w:fill="auto"/>
            <w:vAlign w:val="center"/>
          </w:tcPr>
          <w:p w14:paraId="751ED74E">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平方</w:t>
            </w:r>
          </w:p>
        </w:tc>
        <w:tc>
          <w:tcPr>
            <w:tcW w:w="763" w:type="dxa"/>
          </w:tcPr>
          <w:p w14:paraId="45CFAED1">
            <w:pPr>
              <w:widowControl w:val="0"/>
              <w:jc w:val="center"/>
              <w:rPr>
                <w:rFonts w:hint="eastAsia" w:ascii="仿宋" w:hAnsi="仿宋" w:eastAsia="仿宋" w:cs="仿宋"/>
                <w:b w:val="0"/>
                <w:bCs w:val="0"/>
                <w:sz w:val="21"/>
                <w:szCs w:val="21"/>
                <w:vertAlign w:val="baseline"/>
                <w:lang w:val="en-US" w:eastAsia="zh-CN"/>
              </w:rPr>
            </w:pPr>
          </w:p>
          <w:p w14:paraId="48C39C19">
            <w:pPr>
              <w:widowControl w:val="0"/>
              <w:jc w:val="center"/>
              <w:rPr>
                <w:rFonts w:hint="eastAsia" w:ascii="仿宋" w:hAnsi="仿宋" w:eastAsia="仿宋" w:cs="仿宋"/>
                <w:b w:val="0"/>
                <w:bCs w:val="0"/>
                <w:sz w:val="21"/>
                <w:szCs w:val="21"/>
                <w:vertAlign w:val="baseline"/>
                <w:lang w:val="en-US" w:eastAsia="zh-CN"/>
              </w:rPr>
            </w:pPr>
          </w:p>
          <w:p w14:paraId="5000C572">
            <w:pPr>
              <w:widowControl w:val="0"/>
              <w:jc w:val="center"/>
              <w:rPr>
                <w:rFonts w:hint="eastAsia" w:ascii="仿宋" w:hAnsi="仿宋" w:eastAsia="仿宋" w:cs="仿宋"/>
                <w:b w:val="0"/>
                <w:bCs w:val="0"/>
                <w:sz w:val="21"/>
                <w:szCs w:val="21"/>
                <w:vertAlign w:val="baseline"/>
                <w:lang w:val="en-US" w:eastAsia="zh-CN"/>
              </w:rPr>
            </w:pPr>
          </w:p>
          <w:p w14:paraId="543ECD4C">
            <w:pPr>
              <w:widowControl w:val="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3.7</w:t>
            </w:r>
          </w:p>
        </w:tc>
        <w:tc>
          <w:tcPr>
            <w:tcW w:w="1378" w:type="dxa"/>
          </w:tcPr>
          <w:p w14:paraId="24D6EF51">
            <w:pPr>
              <w:widowControl w:val="0"/>
              <w:jc w:val="center"/>
              <w:rPr>
                <w:rFonts w:hint="eastAsia" w:ascii="仿宋" w:hAnsi="仿宋" w:eastAsia="仿宋" w:cs="仿宋"/>
                <w:b w:val="0"/>
                <w:bCs w:val="0"/>
                <w:sz w:val="21"/>
                <w:szCs w:val="21"/>
                <w:vertAlign w:val="baseline"/>
                <w:lang w:val="en-US" w:eastAsia="zh-CN"/>
              </w:rPr>
            </w:pPr>
          </w:p>
        </w:tc>
        <w:tc>
          <w:tcPr>
            <w:tcW w:w="1363" w:type="dxa"/>
          </w:tcPr>
          <w:p w14:paraId="084B7D67">
            <w:pPr>
              <w:widowControl w:val="0"/>
              <w:jc w:val="center"/>
              <w:rPr>
                <w:rFonts w:hint="eastAsia" w:ascii="仿宋" w:hAnsi="仿宋" w:eastAsia="仿宋" w:cs="仿宋"/>
                <w:b w:val="0"/>
                <w:bCs w:val="0"/>
                <w:sz w:val="21"/>
                <w:szCs w:val="21"/>
                <w:vertAlign w:val="baseline"/>
                <w:lang w:val="en-US" w:eastAsia="zh-CN"/>
              </w:rPr>
            </w:pPr>
          </w:p>
        </w:tc>
        <w:tc>
          <w:tcPr>
            <w:tcW w:w="914" w:type="dxa"/>
            <w:shd w:val="clear" w:color="auto" w:fill="auto"/>
            <w:vAlign w:val="center"/>
          </w:tcPr>
          <w:p w14:paraId="62B747A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含模组，磁铁，标配线材.备板1张</w:t>
            </w:r>
          </w:p>
        </w:tc>
      </w:tr>
      <w:tr w14:paraId="1E590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Pr>
          <w:p w14:paraId="4F9F3F22">
            <w:pPr>
              <w:widowControl w:val="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2</w:t>
            </w:r>
          </w:p>
        </w:tc>
        <w:tc>
          <w:tcPr>
            <w:tcW w:w="750" w:type="dxa"/>
            <w:shd w:val="clear" w:color="auto" w:fill="auto"/>
            <w:vAlign w:val="center"/>
          </w:tcPr>
          <w:p w14:paraId="554C78B9">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电源</w:t>
            </w:r>
          </w:p>
        </w:tc>
        <w:tc>
          <w:tcPr>
            <w:tcW w:w="804" w:type="dxa"/>
            <w:shd w:val="clear" w:color="auto" w:fill="auto"/>
            <w:vAlign w:val="center"/>
          </w:tcPr>
          <w:p w14:paraId="7286A60A">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40A</w:t>
            </w:r>
          </w:p>
        </w:tc>
        <w:tc>
          <w:tcPr>
            <w:tcW w:w="6573" w:type="dxa"/>
            <w:shd w:val="clear" w:color="auto" w:fill="auto"/>
            <w:vAlign w:val="center"/>
          </w:tcPr>
          <w:p w14:paraId="31A02AF8">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具备防水散热功能提供厂商相关专利证书</w:t>
            </w:r>
          </w:p>
        </w:tc>
        <w:tc>
          <w:tcPr>
            <w:tcW w:w="696" w:type="dxa"/>
            <w:vAlign w:val="center"/>
          </w:tcPr>
          <w:p w14:paraId="69396504">
            <w:pPr>
              <w:keepNext w:val="0"/>
              <w:keepLines w:val="0"/>
              <w:widowControl/>
              <w:suppressLineNumbers w:val="0"/>
              <w:jc w:val="center"/>
              <w:textAlignment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批</w:t>
            </w:r>
          </w:p>
        </w:tc>
        <w:tc>
          <w:tcPr>
            <w:tcW w:w="763" w:type="dxa"/>
            <w:shd w:val="clear" w:color="auto" w:fill="auto"/>
            <w:vAlign w:val="top"/>
          </w:tcPr>
          <w:p w14:paraId="1A4DBED9">
            <w:pPr>
              <w:widowControl w:val="0"/>
              <w:jc w:val="center"/>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b w:val="0"/>
                <w:bCs w:val="0"/>
                <w:sz w:val="21"/>
                <w:szCs w:val="21"/>
                <w:vertAlign w:val="baseline"/>
                <w:lang w:val="en-US" w:eastAsia="zh-CN"/>
              </w:rPr>
              <w:t>1</w:t>
            </w:r>
          </w:p>
        </w:tc>
        <w:tc>
          <w:tcPr>
            <w:tcW w:w="1378" w:type="dxa"/>
          </w:tcPr>
          <w:p w14:paraId="263E09AD">
            <w:pPr>
              <w:widowControl w:val="0"/>
              <w:jc w:val="center"/>
              <w:rPr>
                <w:rFonts w:hint="eastAsia" w:ascii="仿宋" w:hAnsi="仿宋" w:eastAsia="仿宋" w:cs="仿宋"/>
                <w:b w:val="0"/>
                <w:bCs w:val="0"/>
                <w:sz w:val="21"/>
                <w:szCs w:val="21"/>
                <w:vertAlign w:val="baseline"/>
                <w:lang w:val="en-US" w:eastAsia="zh-CN"/>
              </w:rPr>
            </w:pPr>
          </w:p>
        </w:tc>
        <w:tc>
          <w:tcPr>
            <w:tcW w:w="1363" w:type="dxa"/>
          </w:tcPr>
          <w:p w14:paraId="49A60D96">
            <w:pPr>
              <w:widowControl w:val="0"/>
              <w:jc w:val="center"/>
              <w:rPr>
                <w:rFonts w:hint="eastAsia" w:ascii="仿宋" w:hAnsi="仿宋" w:eastAsia="仿宋" w:cs="仿宋"/>
                <w:b w:val="0"/>
                <w:bCs w:val="0"/>
                <w:sz w:val="21"/>
                <w:szCs w:val="21"/>
                <w:vertAlign w:val="baseline"/>
                <w:lang w:val="en-US" w:eastAsia="zh-CN"/>
              </w:rPr>
            </w:pPr>
          </w:p>
        </w:tc>
        <w:tc>
          <w:tcPr>
            <w:tcW w:w="914" w:type="dxa"/>
          </w:tcPr>
          <w:p w14:paraId="2C51B5EB">
            <w:pPr>
              <w:widowControl w:val="0"/>
              <w:jc w:val="center"/>
              <w:rPr>
                <w:rFonts w:hint="eastAsia" w:ascii="仿宋" w:hAnsi="仿宋" w:eastAsia="仿宋" w:cs="仿宋"/>
                <w:b w:val="0"/>
                <w:bCs w:val="0"/>
                <w:sz w:val="21"/>
                <w:szCs w:val="21"/>
                <w:vertAlign w:val="baseline"/>
                <w:lang w:val="en-US" w:eastAsia="zh-CN"/>
              </w:rPr>
            </w:pPr>
          </w:p>
        </w:tc>
      </w:tr>
      <w:tr w14:paraId="1E7A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Pr>
          <w:p w14:paraId="38DB200B">
            <w:pPr>
              <w:widowControl w:val="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3</w:t>
            </w:r>
          </w:p>
        </w:tc>
        <w:tc>
          <w:tcPr>
            <w:tcW w:w="750" w:type="dxa"/>
            <w:shd w:val="clear" w:color="auto" w:fill="auto"/>
            <w:vAlign w:val="center"/>
          </w:tcPr>
          <w:p w14:paraId="193483AD">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视频处理器</w:t>
            </w:r>
          </w:p>
        </w:tc>
        <w:tc>
          <w:tcPr>
            <w:tcW w:w="804" w:type="dxa"/>
          </w:tcPr>
          <w:p w14:paraId="5F40546C">
            <w:pPr>
              <w:widowControl w:val="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w:t>
            </w:r>
          </w:p>
        </w:tc>
        <w:tc>
          <w:tcPr>
            <w:tcW w:w="6573" w:type="dxa"/>
            <w:shd w:val="clear" w:color="auto" w:fill="auto"/>
            <w:vAlign w:val="center"/>
          </w:tcPr>
          <w:p w14:paraId="2FC47029">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1、支持设备间和网口间冗余备份多台控制器及控制器间任意网口指定备份其他区域控制范围内容，需提供具有CMA、CNAS、ilac-MRA认证标识的第三方厂家检测报告，并加盖供应商公章；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快速回传探测控制器显示信息，可回读出控制器的序号、名字、型号、输入视频信号信息，控制器输出网口连接接收卡的情况，控制器的固件版本信息，需提供具有CMA、CNAS、ilac-MRA认证标识的第三方厂家检测报告，并加盖供应商公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3、支持设备间和网口间冗余备份多台控制器及控制器间任意网口指定备份其他区域控制范围内容，需提供具有CMA、CNAS、ilac-MRA认证标识的第三方厂家检测报告，并加盖供应商公章；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支持亮度、色温调节，通过该控制器可调式显示屏的色域坐标显示不同坐标值色温;可任意改变0-255灰阶不同灰度值的亮度显示和色温，需提供具有CMA、CNAS、ilac-MRA认证标识的第三方厂家检测报告，并加盖供应商公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5、支持不同控制器之间备份，及同一控制器内不同网口之间的备份，需提供具有CMA、CNAS、ilac-MRA认证标识的第三方厂家检测报告，并加盖供应商公章；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6、不正当操作导致控制器内部设置错乱，可一键恢复出厂标准设置，需提供具有CMA、CNAS、ilac-MRA认证标识的第三方厂家检测报告，并加盖供应商公章；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设备带有RTC芯片，支持视频控制器和接收卡端的加密管理，通过加密相关的协议实现授权日期内的形常显示，非授权日期无法正常显示。需提供具有CMA、CNAS、ilac-MRA认证标识的第三方厂家检测报告，并加盖供应商公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8、通过该控制器可调节显示屏色温值2000K-10000K;需提供具有CMA、CNAS、ilac-MRA认证标识的第三方厂家检测报告，并加盖供应商公章；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为确保产品控制显示效果，需提供LED大屏幕播放控制软件和LED大屏幕专业校正软件著作权证书</w:t>
            </w:r>
          </w:p>
        </w:tc>
        <w:tc>
          <w:tcPr>
            <w:tcW w:w="696" w:type="dxa"/>
            <w:vAlign w:val="center"/>
          </w:tcPr>
          <w:p w14:paraId="3D1B8344">
            <w:pPr>
              <w:keepNext w:val="0"/>
              <w:keepLines w:val="0"/>
              <w:widowControl/>
              <w:suppressLineNumbers w:val="0"/>
              <w:jc w:val="center"/>
              <w:textAlignment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763" w:type="dxa"/>
            <w:shd w:val="clear" w:color="auto" w:fill="auto"/>
            <w:vAlign w:val="top"/>
          </w:tcPr>
          <w:p w14:paraId="7845B8FD">
            <w:pPr>
              <w:widowControl w:val="0"/>
              <w:jc w:val="center"/>
              <w:rPr>
                <w:rFonts w:hint="eastAsia" w:ascii="仿宋" w:hAnsi="仿宋" w:eastAsia="仿宋" w:cs="仿宋"/>
                <w:b w:val="0"/>
                <w:bCs w:val="0"/>
                <w:sz w:val="21"/>
                <w:szCs w:val="21"/>
                <w:vertAlign w:val="baseline"/>
                <w:lang w:val="en-US" w:eastAsia="zh-CN"/>
              </w:rPr>
            </w:pPr>
          </w:p>
          <w:p w14:paraId="27CB0E28">
            <w:pPr>
              <w:widowControl w:val="0"/>
              <w:jc w:val="center"/>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b w:val="0"/>
                <w:bCs w:val="0"/>
                <w:sz w:val="21"/>
                <w:szCs w:val="21"/>
                <w:vertAlign w:val="baseline"/>
                <w:lang w:val="en-US" w:eastAsia="zh-CN"/>
              </w:rPr>
              <w:t>1</w:t>
            </w:r>
          </w:p>
        </w:tc>
        <w:tc>
          <w:tcPr>
            <w:tcW w:w="1378" w:type="dxa"/>
          </w:tcPr>
          <w:p w14:paraId="305ED04B">
            <w:pPr>
              <w:widowControl w:val="0"/>
              <w:jc w:val="center"/>
              <w:rPr>
                <w:rFonts w:hint="eastAsia" w:ascii="仿宋" w:hAnsi="仿宋" w:eastAsia="仿宋" w:cs="仿宋"/>
                <w:b w:val="0"/>
                <w:bCs w:val="0"/>
                <w:sz w:val="21"/>
                <w:szCs w:val="21"/>
                <w:vertAlign w:val="baseline"/>
                <w:lang w:val="en-US" w:eastAsia="zh-CN"/>
              </w:rPr>
            </w:pPr>
          </w:p>
        </w:tc>
        <w:tc>
          <w:tcPr>
            <w:tcW w:w="1363" w:type="dxa"/>
          </w:tcPr>
          <w:p w14:paraId="39CD3F3E">
            <w:pPr>
              <w:widowControl w:val="0"/>
              <w:jc w:val="center"/>
              <w:rPr>
                <w:rFonts w:hint="eastAsia" w:ascii="仿宋" w:hAnsi="仿宋" w:eastAsia="仿宋" w:cs="仿宋"/>
                <w:b w:val="0"/>
                <w:bCs w:val="0"/>
                <w:sz w:val="21"/>
                <w:szCs w:val="21"/>
                <w:vertAlign w:val="baseline"/>
                <w:lang w:val="en-US" w:eastAsia="zh-CN"/>
              </w:rPr>
            </w:pPr>
          </w:p>
        </w:tc>
        <w:tc>
          <w:tcPr>
            <w:tcW w:w="914" w:type="dxa"/>
            <w:shd w:val="clear" w:color="auto" w:fill="auto"/>
            <w:vAlign w:val="center"/>
          </w:tcPr>
          <w:p w14:paraId="08E6466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自带发送，带载260万像素</w:t>
            </w:r>
          </w:p>
        </w:tc>
      </w:tr>
      <w:tr w14:paraId="4641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Pr>
          <w:p w14:paraId="087AE2BA">
            <w:pPr>
              <w:widowControl w:val="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4</w:t>
            </w:r>
          </w:p>
        </w:tc>
        <w:tc>
          <w:tcPr>
            <w:tcW w:w="750" w:type="dxa"/>
            <w:shd w:val="clear" w:color="auto" w:fill="auto"/>
            <w:vAlign w:val="center"/>
          </w:tcPr>
          <w:p w14:paraId="60ED04E7">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接收卡</w:t>
            </w:r>
          </w:p>
        </w:tc>
        <w:tc>
          <w:tcPr>
            <w:tcW w:w="804" w:type="dxa"/>
          </w:tcPr>
          <w:p w14:paraId="51BE667E">
            <w:pPr>
              <w:widowControl w:val="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w:t>
            </w:r>
          </w:p>
        </w:tc>
        <w:tc>
          <w:tcPr>
            <w:tcW w:w="6573" w:type="dxa"/>
            <w:shd w:val="clear" w:color="auto" w:fill="auto"/>
            <w:vAlign w:val="center"/>
          </w:tcPr>
          <w:p w14:paraId="2054E5B1">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1、视频输入，8bit 视频输入。需提供具有 CMA、CNAS、ilac-MRA 认证标识的第三方检测报告复印件，并加盖供应商鲜章；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 色温调节，即饱和度调节，增强画面表现力。需提供具有 CMA、CNAS、ilac-MRA 认证标识的第三方检测报告复印件，并加盖供应商鲜章；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2、低亮高灰，通过对伽马表算法的优化，使得显示屏在降低亮度时能保持灰阶的完整无损失、完美显示，呈现低亮度高灰阶的显示效果。需提供具有 CMA、CNAS、ilac-MRA 认证标识的第三方检测报告复印件，并加盖供应商鲜章；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高帧率，配合帧率倍频可以输出最高 240Hz 画面，显示更流畅、减少拖影。需提供具有 CMA、CNAS、ilac-MRA 认证标识的第三方检测报告复印件，并加盖供应商鲜章；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3、亮色校正，8bit精度的色度，亮度一体化逐点校正，能有效消除灯点色差，保证整屏的颜色亮度的均匀性和一致性，提升整体显示效果。需提供具有 CMA、CNAS、ilac-MRA 认证标识的第三方检测报告复印件，并加盖供应商鲜章；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4、箱体标序，可快速标示出对应网口的接收卡实际硬件连接序号，方便设置屏体的连接关系。需提供具有 CMA、CNAS、ilac-MRA 认证标识的第三方检测报告复印件，并加盖供应商鲜章；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5、箱体标定，可快速标示出选定的目标箱体，使箱体正面显示闪烁方框、同时改变箱体指示灯闪烁频率，方便前后维护。需提供具有 CMA、CNAS、ilac-MRA 认证标识的第三方检测报告复印件，并加盖供应商鲜章；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6、网口标序，不同网口和不同主控采用不同颜色显示，方便维护。需提供具有 CMA、CNAS、ilac-MRA 认证标识的第三方检测报告复印件，并加盖供应商鲜章；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7、一帧延迟，发送端到显示端延迟达到一帧，解决系统延迟导致的画面不同步问题。需提供具有 CMA、CNAS、ilac-MRA 认证标识的第三方检测报告复印件，并加盖供应商鲜章；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8、画面旋转，单箱体画面以 90°/180°/270°角度进行旋转，配合部分主控可实现单箱体画面任意面 角度旋转显示。需提供具有 CMA、CNAS、ilac-MRA 认证标识的第三方检测报告复印件，并加盖供应商鲜章；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9、数据组偏移，以数据组为单位进行画面的偏移，适用于简 单异形屏。需提供具有 CMA、CNAS、ilac-MRA 认证标识的第三方检测报告复印件，并加盖供应商鲜章；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任意抽行、抽列、抽点，任意抽行、抽列、抽点。需提供具有 CMA、CNAS、ilac-MRA 认证标识的第三方检测报告复印件，并加盖供应商鲜章；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10、快速升级和下 发校正系数，支持快速升级和快速发送校正系数。需提供具有 CMA、CNAS、ilac-MRA 认证标识的第三方检测报告复印件，并加盖供应商鲜章；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11、环路备份，通过主备冗余机制增加接收卡串联的可靠性。主备串联线路中，当其中一条线路出现故障时，另一条线路会即时工作，保证显示屏正常工作,为证明网线冗余热备份功能的专业性。需提供具有 CMA、CNAS、ilac-MRA 认证标识的第三方检测报告复印件，并加盖供应商鲜章；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11、网线误码率侦测，检测接收卡之间数据传输质量和误码情况，可以方便快捷地识别出硬件连接异常的箱体，便于维护。需提供具有 CMA、CNAS、ilac-MRA 认证标识的第三方检测报告复印件，并加盖供应商鲜章；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13、固件程序回读，支持可以回读接收卡的固件程序并保存到本地。需提供具有 CMA、CNAS、ilac-MRA 认证标识的第三方检测报告复印件，并加盖供应商鲜章；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14、固件参数回读，支持可以回读接收卡的参数并保存到本地。需提供具有 CMA、CNAS、ilac-MRA 认证标识的第三方检测报告复印件，并加盖供应商鲜章；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15、模组构造，可以轻松点亮三角形、梯形、圆形、扇形及各种不规则形状的 LED 模组和箱体，应用于不同造型的 LED 显示屏。需提供具有 CMA、CNAS、ilac-MRA 认证标识的第三方检测报告复印件，并加盖供应商鲜章；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16、千兆网连接，支持千兆网，可通过网线直接连接 PC 端进行 调试和显示，无需发送卡。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17、3D 显示功能，支持 3D 显示功能。需提供具有 CMA、CNAS、ilac-MRA 认证标识的第三方检测报告复印件，并加盖供应商鲜章；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加密，支持接收卡加密和解密。需提供具有 CMA、CNAS、ilac-MRA 认证标识的第三方检测报告复印件，并加盖供应商鲜章；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18、亮度调节，通过亮度探头获取亮度值，通过调用多套芯片寄存器达到调亮度。需提供具有 CMA、CNAS、ilac-MRA 认证标识的第三方检测报告复印件，并加盖供应商鲜章；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19、低灰指定校正 系数，低灰指定校正系数。需提供具有 CMA、CNAS、ilac-MRA 认证标识的第三方检测报告复印件，并加盖供应商鲜章；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电源接口，接收卡电源接口与灯板电源接口一致(与灯板电源一致)无需单独配线，安装方便。需提供具有 CMA、CNAS、ilac-MRA 认证标识的第三方检测报告复印件，并加盖供应商鲜章；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20、指示灯，通过电源指示灯和状态指示灯不同闪烁状态.，可以判断，屏体工作状态，无需软件。需提供具有 CMA、CNAS、ilac-MRA 认证标识的第三方检测报告复印件，并加盖供应商鲜章；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21、阻燃，表面阻燃 V-0 级。需提供具有 CMA、CNAS、ilac-MRA 认证标识的第三方检测报告复印件，并加盖供应商鲜章；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22、工作温度，-25℃-75℃。需提供具有 CMA、CNAS、ilac-MRA 认证标识的第三方检测报告复印件，并加盖供应商鲜章；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23、存储温湿度，-40℃-125℃@0-95%RH。需提供具有 CMA、CNAS、ilac-MRA 认证标识的第三方检测报告复印件，并加盖供应商鲜章；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24、电源防反接，支持电源防反接设计。需提供具有 CMA、CNAS、ilac-MRA 认证标识的第三方检测报告复印件，并加盖供应商鲜章</w:t>
            </w:r>
          </w:p>
        </w:tc>
        <w:tc>
          <w:tcPr>
            <w:tcW w:w="696" w:type="dxa"/>
            <w:vAlign w:val="center"/>
          </w:tcPr>
          <w:p w14:paraId="6F5910D1">
            <w:pPr>
              <w:keepNext w:val="0"/>
              <w:keepLines w:val="0"/>
              <w:widowControl/>
              <w:suppressLineNumbers w:val="0"/>
              <w:jc w:val="center"/>
              <w:textAlignment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张</w:t>
            </w:r>
          </w:p>
        </w:tc>
        <w:tc>
          <w:tcPr>
            <w:tcW w:w="763" w:type="dxa"/>
            <w:shd w:val="clear" w:color="auto" w:fill="auto"/>
            <w:vAlign w:val="top"/>
          </w:tcPr>
          <w:p w14:paraId="4DE8EF31">
            <w:pPr>
              <w:widowControl w:val="0"/>
              <w:jc w:val="center"/>
              <w:rPr>
                <w:rFonts w:hint="eastAsia" w:ascii="仿宋" w:hAnsi="仿宋" w:eastAsia="仿宋" w:cs="仿宋"/>
                <w:b w:val="0"/>
                <w:bCs w:val="0"/>
                <w:sz w:val="21"/>
                <w:szCs w:val="21"/>
                <w:vertAlign w:val="baseline"/>
                <w:lang w:val="en-US" w:eastAsia="zh-CN"/>
              </w:rPr>
            </w:pPr>
          </w:p>
          <w:p w14:paraId="4594D21D">
            <w:pPr>
              <w:widowControl w:val="0"/>
              <w:jc w:val="center"/>
              <w:rPr>
                <w:rFonts w:hint="eastAsia" w:ascii="仿宋" w:hAnsi="仿宋" w:eastAsia="仿宋" w:cs="仿宋"/>
                <w:b w:val="0"/>
                <w:bCs w:val="0"/>
                <w:sz w:val="21"/>
                <w:szCs w:val="21"/>
                <w:vertAlign w:val="baseline"/>
                <w:lang w:val="en-US" w:eastAsia="zh-CN"/>
              </w:rPr>
            </w:pPr>
          </w:p>
          <w:p w14:paraId="28433A50">
            <w:pPr>
              <w:widowControl w:val="0"/>
              <w:jc w:val="center"/>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b w:val="0"/>
                <w:bCs w:val="0"/>
                <w:sz w:val="21"/>
                <w:szCs w:val="21"/>
                <w:vertAlign w:val="baseline"/>
                <w:lang w:val="en-US" w:eastAsia="zh-CN"/>
              </w:rPr>
              <w:t>12</w:t>
            </w:r>
          </w:p>
        </w:tc>
        <w:tc>
          <w:tcPr>
            <w:tcW w:w="1378" w:type="dxa"/>
          </w:tcPr>
          <w:p w14:paraId="7CE58E02">
            <w:pPr>
              <w:widowControl w:val="0"/>
              <w:jc w:val="center"/>
              <w:rPr>
                <w:rFonts w:hint="eastAsia" w:ascii="仿宋" w:hAnsi="仿宋" w:eastAsia="仿宋" w:cs="仿宋"/>
                <w:b w:val="0"/>
                <w:bCs w:val="0"/>
                <w:sz w:val="21"/>
                <w:szCs w:val="21"/>
                <w:vertAlign w:val="baseline"/>
                <w:lang w:val="en-US" w:eastAsia="zh-CN"/>
              </w:rPr>
            </w:pPr>
          </w:p>
        </w:tc>
        <w:tc>
          <w:tcPr>
            <w:tcW w:w="1363" w:type="dxa"/>
          </w:tcPr>
          <w:p w14:paraId="418D1A1F">
            <w:pPr>
              <w:widowControl w:val="0"/>
              <w:jc w:val="center"/>
              <w:rPr>
                <w:rFonts w:hint="eastAsia" w:ascii="仿宋" w:hAnsi="仿宋" w:eastAsia="仿宋" w:cs="仿宋"/>
                <w:b w:val="0"/>
                <w:bCs w:val="0"/>
                <w:sz w:val="21"/>
                <w:szCs w:val="21"/>
                <w:vertAlign w:val="baseline"/>
                <w:lang w:val="en-US" w:eastAsia="zh-CN"/>
              </w:rPr>
            </w:pPr>
          </w:p>
        </w:tc>
        <w:tc>
          <w:tcPr>
            <w:tcW w:w="914" w:type="dxa"/>
            <w:shd w:val="clear" w:color="auto" w:fill="auto"/>
            <w:vAlign w:val="center"/>
          </w:tcPr>
          <w:p w14:paraId="00D78EF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带载8张</w:t>
            </w:r>
          </w:p>
        </w:tc>
      </w:tr>
      <w:tr w14:paraId="2144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Pr>
          <w:p w14:paraId="16903F34">
            <w:pPr>
              <w:widowControl w:val="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5</w:t>
            </w:r>
          </w:p>
        </w:tc>
        <w:tc>
          <w:tcPr>
            <w:tcW w:w="750" w:type="dxa"/>
            <w:shd w:val="clear" w:color="auto" w:fill="auto"/>
            <w:vAlign w:val="center"/>
          </w:tcPr>
          <w:p w14:paraId="1ECDE102">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数据转换设备</w:t>
            </w:r>
          </w:p>
        </w:tc>
        <w:tc>
          <w:tcPr>
            <w:tcW w:w="804" w:type="dxa"/>
            <w:shd w:val="clear" w:color="auto" w:fill="auto"/>
            <w:vAlign w:val="center"/>
          </w:tcPr>
          <w:p w14:paraId="4A799A89">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1018GK</w:t>
            </w:r>
          </w:p>
        </w:tc>
        <w:tc>
          <w:tcPr>
            <w:tcW w:w="6573" w:type="dxa"/>
            <w:shd w:val="clear" w:color="auto" w:fill="auto"/>
            <w:vAlign w:val="center"/>
          </w:tcPr>
          <w:p w14:paraId="4F43E0F4">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1、具有共享缓存架构。交换能力≥56Gbps，转发率≥41Mpps</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2、1000Base-T接口测试；100米传输距离内能正常工作，具有通过管理平台和手机APP对交换机进行远程控制、状态查看、系统拓扑展示、管理、远程升级、远程重启。（提供国家认可的第三方检测报告）</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支持通过管理平台对交换机间不同的连接方式进行系统拓扑识别，包括网线连接、光纤连接、无线连接；支持通过管理平台展示交换机间链路详情，包括传输速率、链路两端设备信息和链路带宽告警展示；（提供有国家认可的第三方检测报告）</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4、具有链路聚合、QoS、STP/RSTP、端口镜像、端口隔离、风暴抑制功能，具有SNMP管理、LLDP功能，支持按端口划分VLAN（提供有国家认可的第三方检测报告）</w:t>
            </w:r>
          </w:p>
        </w:tc>
        <w:tc>
          <w:tcPr>
            <w:tcW w:w="696" w:type="dxa"/>
            <w:vAlign w:val="center"/>
          </w:tcPr>
          <w:p w14:paraId="2EFBC502">
            <w:pPr>
              <w:keepNext w:val="0"/>
              <w:keepLines w:val="0"/>
              <w:widowControl/>
              <w:suppressLineNumbers w:val="0"/>
              <w:jc w:val="center"/>
              <w:textAlignment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763" w:type="dxa"/>
            <w:shd w:val="clear" w:color="auto" w:fill="auto"/>
            <w:vAlign w:val="top"/>
          </w:tcPr>
          <w:p w14:paraId="53D92961">
            <w:pPr>
              <w:widowControl w:val="0"/>
              <w:jc w:val="center"/>
              <w:rPr>
                <w:rFonts w:hint="eastAsia" w:ascii="仿宋" w:hAnsi="仿宋" w:eastAsia="仿宋" w:cs="仿宋"/>
                <w:b w:val="0"/>
                <w:bCs w:val="0"/>
                <w:sz w:val="21"/>
                <w:szCs w:val="21"/>
                <w:vertAlign w:val="baseline"/>
                <w:lang w:val="en-US" w:eastAsia="zh-CN"/>
              </w:rPr>
            </w:pPr>
          </w:p>
          <w:p w14:paraId="0DA93E98">
            <w:pPr>
              <w:widowControl w:val="0"/>
              <w:jc w:val="center"/>
              <w:rPr>
                <w:rFonts w:hint="eastAsia" w:ascii="仿宋" w:hAnsi="仿宋" w:eastAsia="仿宋" w:cs="仿宋"/>
                <w:b w:val="0"/>
                <w:bCs w:val="0"/>
                <w:sz w:val="21"/>
                <w:szCs w:val="21"/>
                <w:vertAlign w:val="baseline"/>
                <w:lang w:val="en-US" w:eastAsia="zh-CN"/>
              </w:rPr>
            </w:pPr>
          </w:p>
          <w:p w14:paraId="6940726A">
            <w:pPr>
              <w:widowControl w:val="0"/>
              <w:jc w:val="center"/>
              <w:rPr>
                <w:rFonts w:hint="eastAsia" w:ascii="仿宋" w:hAnsi="仿宋" w:eastAsia="仿宋" w:cs="仿宋"/>
                <w:b w:val="0"/>
                <w:bCs w:val="0"/>
                <w:sz w:val="21"/>
                <w:szCs w:val="21"/>
                <w:vertAlign w:val="baseline"/>
                <w:lang w:val="en-US" w:eastAsia="zh-CN"/>
              </w:rPr>
            </w:pPr>
          </w:p>
          <w:p w14:paraId="60003D2A">
            <w:pPr>
              <w:widowControl w:val="0"/>
              <w:jc w:val="center"/>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b w:val="0"/>
                <w:bCs w:val="0"/>
                <w:sz w:val="21"/>
                <w:szCs w:val="21"/>
                <w:vertAlign w:val="baseline"/>
                <w:lang w:val="en-US" w:eastAsia="zh-CN"/>
              </w:rPr>
              <w:t>1</w:t>
            </w:r>
          </w:p>
        </w:tc>
        <w:tc>
          <w:tcPr>
            <w:tcW w:w="1378" w:type="dxa"/>
          </w:tcPr>
          <w:p w14:paraId="0FCE989E">
            <w:pPr>
              <w:widowControl w:val="0"/>
              <w:jc w:val="center"/>
              <w:rPr>
                <w:rFonts w:hint="eastAsia" w:ascii="仿宋" w:hAnsi="仿宋" w:eastAsia="仿宋" w:cs="仿宋"/>
                <w:b w:val="0"/>
                <w:bCs w:val="0"/>
                <w:sz w:val="21"/>
                <w:szCs w:val="21"/>
                <w:vertAlign w:val="baseline"/>
                <w:lang w:val="en-US" w:eastAsia="zh-CN"/>
              </w:rPr>
            </w:pPr>
          </w:p>
        </w:tc>
        <w:tc>
          <w:tcPr>
            <w:tcW w:w="1363" w:type="dxa"/>
          </w:tcPr>
          <w:p w14:paraId="140280CA">
            <w:pPr>
              <w:widowControl w:val="0"/>
              <w:jc w:val="center"/>
              <w:rPr>
                <w:rFonts w:hint="eastAsia" w:ascii="仿宋" w:hAnsi="仿宋" w:eastAsia="仿宋" w:cs="仿宋"/>
                <w:b w:val="0"/>
                <w:bCs w:val="0"/>
                <w:sz w:val="21"/>
                <w:szCs w:val="21"/>
                <w:vertAlign w:val="baseline"/>
                <w:lang w:val="en-US" w:eastAsia="zh-CN"/>
              </w:rPr>
            </w:pPr>
          </w:p>
        </w:tc>
        <w:tc>
          <w:tcPr>
            <w:tcW w:w="914" w:type="dxa"/>
          </w:tcPr>
          <w:p w14:paraId="1D49505F">
            <w:pPr>
              <w:widowControl w:val="0"/>
              <w:jc w:val="center"/>
              <w:rPr>
                <w:rFonts w:hint="eastAsia" w:ascii="仿宋" w:hAnsi="仿宋" w:eastAsia="仿宋" w:cs="仿宋"/>
                <w:b w:val="0"/>
                <w:bCs w:val="0"/>
                <w:sz w:val="21"/>
                <w:szCs w:val="21"/>
                <w:vertAlign w:val="baseline"/>
                <w:lang w:val="en-US" w:eastAsia="zh-CN"/>
              </w:rPr>
            </w:pPr>
          </w:p>
        </w:tc>
      </w:tr>
      <w:tr w14:paraId="2B84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Pr>
          <w:p w14:paraId="6852B18C">
            <w:pPr>
              <w:widowControl w:val="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6</w:t>
            </w:r>
          </w:p>
        </w:tc>
        <w:tc>
          <w:tcPr>
            <w:tcW w:w="750" w:type="dxa"/>
            <w:shd w:val="clear" w:color="auto" w:fill="auto"/>
            <w:vAlign w:val="center"/>
          </w:tcPr>
          <w:p w14:paraId="3D9F1B38">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成品电源线3*2.5</w:t>
            </w:r>
          </w:p>
        </w:tc>
        <w:tc>
          <w:tcPr>
            <w:tcW w:w="804" w:type="dxa"/>
            <w:shd w:val="clear" w:color="auto" w:fill="auto"/>
            <w:vAlign w:val="center"/>
          </w:tcPr>
          <w:p w14:paraId="7E139660">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0.6米</w:t>
            </w:r>
          </w:p>
        </w:tc>
        <w:tc>
          <w:tcPr>
            <w:tcW w:w="6573" w:type="dxa"/>
            <w:shd w:val="clear" w:color="auto" w:fill="auto"/>
            <w:vAlign w:val="center"/>
          </w:tcPr>
          <w:p w14:paraId="1AEFE77B">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RVV3*2.5</w:t>
            </w:r>
          </w:p>
        </w:tc>
        <w:tc>
          <w:tcPr>
            <w:tcW w:w="696" w:type="dxa"/>
            <w:vAlign w:val="center"/>
          </w:tcPr>
          <w:p w14:paraId="4EFC7A1D">
            <w:pPr>
              <w:keepNext w:val="0"/>
              <w:keepLines w:val="0"/>
              <w:widowControl/>
              <w:suppressLineNumbers w:val="0"/>
              <w:jc w:val="center"/>
              <w:textAlignment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根</w:t>
            </w:r>
          </w:p>
        </w:tc>
        <w:tc>
          <w:tcPr>
            <w:tcW w:w="763" w:type="dxa"/>
            <w:shd w:val="clear" w:color="auto" w:fill="auto"/>
            <w:vAlign w:val="top"/>
          </w:tcPr>
          <w:p w14:paraId="795B9ED6">
            <w:pPr>
              <w:widowControl w:val="0"/>
              <w:jc w:val="center"/>
              <w:rPr>
                <w:rFonts w:hint="eastAsia" w:ascii="仿宋" w:hAnsi="仿宋" w:eastAsia="仿宋" w:cs="仿宋"/>
                <w:b w:val="0"/>
                <w:bCs w:val="0"/>
                <w:sz w:val="21"/>
                <w:szCs w:val="21"/>
                <w:vertAlign w:val="baseline"/>
                <w:lang w:val="en-US" w:eastAsia="zh-CN"/>
              </w:rPr>
            </w:pPr>
          </w:p>
          <w:p w14:paraId="73427144">
            <w:pPr>
              <w:widowControl w:val="0"/>
              <w:jc w:val="center"/>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b w:val="0"/>
                <w:bCs w:val="0"/>
                <w:sz w:val="21"/>
                <w:szCs w:val="21"/>
                <w:vertAlign w:val="baseline"/>
                <w:lang w:val="en-US" w:eastAsia="zh-CN"/>
              </w:rPr>
              <w:t>18</w:t>
            </w:r>
          </w:p>
        </w:tc>
        <w:tc>
          <w:tcPr>
            <w:tcW w:w="1378" w:type="dxa"/>
          </w:tcPr>
          <w:p w14:paraId="62F6D280">
            <w:pPr>
              <w:widowControl w:val="0"/>
              <w:jc w:val="center"/>
              <w:rPr>
                <w:rFonts w:hint="eastAsia" w:ascii="仿宋" w:hAnsi="仿宋" w:eastAsia="仿宋" w:cs="仿宋"/>
                <w:b w:val="0"/>
                <w:bCs w:val="0"/>
                <w:sz w:val="21"/>
                <w:szCs w:val="21"/>
                <w:vertAlign w:val="baseline"/>
                <w:lang w:val="en-US" w:eastAsia="zh-CN"/>
              </w:rPr>
            </w:pPr>
          </w:p>
        </w:tc>
        <w:tc>
          <w:tcPr>
            <w:tcW w:w="1363" w:type="dxa"/>
          </w:tcPr>
          <w:p w14:paraId="1E205532">
            <w:pPr>
              <w:widowControl w:val="0"/>
              <w:jc w:val="center"/>
              <w:rPr>
                <w:rFonts w:hint="eastAsia" w:ascii="仿宋" w:hAnsi="仿宋" w:eastAsia="仿宋" w:cs="仿宋"/>
                <w:b w:val="0"/>
                <w:bCs w:val="0"/>
                <w:sz w:val="21"/>
                <w:szCs w:val="21"/>
                <w:vertAlign w:val="baseline"/>
                <w:lang w:val="en-US" w:eastAsia="zh-CN"/>
              </w:rPr>
            </w:pPr>
          </w:p>
        </w:tc>
        <w:tc>
          <w:tcPr>
            <w:tcW w:w="914" w:type="dxa"/>
          </w:tcPr>
          <w:p w14:paraId="03BA8110">
            <w:pPr>
              <w:widowControl w:val="0"/>
              <w:jc w:val="center"/>
              <w:rPr>
                <w:rFonts w:hint="eastAsia" w:ascii="仿宋" w:hAnsi="仿宋" w:eastAsia="仿宋" w:cs="仿宋"/>
                <w:b w:val="0"/>
                <w:bCs w:val="0"/>
                <w:sz w:val="21"/>
                <w:szCs w:val="21"/>
                <w:vertAlign w:val="baseline"/>
                <w:lang w:val="en-US" w:eastAsia="zh-CN"/>
              </w:rPr>
            </w:pPr>
          </w:p>
        </w:tc>
      </w:tr>
      <w:tr w14:paraId="5DDB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Pr>
          <w:p w14:paraId="39A3F34E">
            <w:pPr>
              <w:widowControl w:val="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7</w:t>
            </w:r>
          </w:p>
        </w:tc>
        <w:tc>
          <w:tcPr>
            <w:tcW w:w="750" w:type="dxa"/>
            <w:shd w:val="clear" w:color="auto" w:fill="auto"/>
            <w:vAlign w:val="center"/>
          </w:tcPr>
          <w:p w14:paraId="16DDD0CF">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成品网线</w:t>
            </w:r>
          </w:p>
        </w:tc>
        <w:tc>
          <w:tcPr>
            <w:tcW w:w="804" w:type="dxa"/>
            <w:shd w:val="clear" w:color="auto" w:fill="auto"/>
            <w:vAlign w:val="center"/>
          </w:tcPr>
          <w:p w14:paraId="35A3C80F">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0.8米</w:t>
            </w:r>
          </w:p>
        </w:tc>
        <w:tc>
          <w:tcPr>
            <w:tcW w:w="6573" w:type="dxa"/>
            <w:shd w:val="clear" w:color="auto" w:fill="auto"/>
            <w:vAlign w:val="center"/>
          </w:tcPr>
          <w:p w14:paraId="6545AF35">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国标、六类</w:t>
            </w:r>
          </w:p>
        </w:tc>
        <w:tc>
          <w:tcPr>
            <w:tcW w:w="696" w:type="dxa"/>
            <w:vAlign w:val="center"/>
          </w:tcPr>
          <w:p w14:paraId="46070EB1">
            <w:pPr>
              <w:keepNext w:val="0"/>
              <w:keepLines w:val="0"/>
              <w:widowControl/>
              <w:suppressLineNumbers w:val="0"/>
              <w:jc w:val="center"/>
              <w:textAlignment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根</w:t>
            </w:r>
          </w:p>
        </w:tc>
        <w:tc>
          <w:tcPr>
            <w:tcW w:w="763" w:type="dxa"/>
            <w:shd w:val="clear" w:color="auto" w:fill="auto"/>
            <w:vAlign w:val="top"/>
          </w:tcPr>
          <w:p w14:paraId="5F4131E2">
            <w:pPr>
              <w:widowControl w:val="0"/>
              <w:jc w:val="center"/>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b w:val="0"/>
                <w:bCs w:val="0"/>
                <w:sz w:val="21"/>
                <w:szCs w:val="21"/>
                <w:vertAlign w:val="baseline"/>
                <w:lang w:val="en-US" w:eastAsia="zh-CN"/>
              </w:rPr>
              <w:t>12</w:t>
            </w:r>
          </w:p>
        </w:tc>
        <w:tc>
          <w:tcPr>
            <w:tcW w:w="1378" w:type="dxa"/>
          </w:tcPr>
          <w:p w14:paraId="48EDE58C">
            <w:pPr>
              <w:widowControl w:val="0"/>
              <w:jc w:val="center"/>
              <w:rPr>
                <w:rFonts w:hint="eastAsia" w:ascii="仿宋" w:hAnsi="仿宋" w:eastAsia="仿宋" w:cs="仿宋"/>
                <w:b w:val="0"/>
                <w:bCs w:val="0"/>
                <w:sz w:val="21"/>
                <w:szCs w:val="21"/>
                <w:vertAlign w:val="baseline"/>
                <w:lang w:val="en-US" w:eastAsia="zh-CN"/>
              </w:rPr>
            </w:pPr>
          </w:p>
        </w:tc>
        <w:tc>
          <w:tcPr>
            <w:tcW w:w="1363" w:type="dxa"/>
          </w:tcPr>
          <w:p w14:paraId="190D05AB">
            <w:pPr>
              <w:widowControl w:val="0"/>
              <w:jc w:val="center"/>
              <w:rPr>
                <w:rFonts w:hint="eastAsia" w:ascii="仿宋" w:hAnsi="仿宋" w:eastAsia="仿宋" w:cs="仿宋"/>
                <w:b w:val="0"/>
                <w:bCs w:val="0"/>
                <w:sz w:val="21"/>
                <w:szCs w:val="21"/>
                <w:vertAlign w:val="baseline"/>
                <w:lang w:val="en-US" w:eastAsia="zh-CN"/>
              </w:rPr>
            </w:pPr>
          </w:p>
        </w:tc>
        <w:tc>
          <w:tcPr>
            <w:tcW w:w="914" w:type="dxa"/>
          </w:tcPr>
          <w:p w14:paraId="49719641">
            <w:pPr>
              <w:widowControl w:val="0"/>
              <w:jc w:val="center"/>
              <w:rPr>
                <w:rFonts w:hint="eastAsia" w:ascii="仿宋" w:hAnsi="仿宋" w:eastAsia="仿宋" w:cs="仿宋"/>
                <w:b w:val="0"/>
                <w:bCs w:val="0"/>
                <w:sz w:val="21"/>
                <w:szCs w:val="21"/>
                <w:vertAlign w:val="baseline"/>
                <w:lang w:val="en-US" w:eastAsia="zh-CN"/>
              </w:rPr>
            </w:pPr>
          </w:p>
        </w:tc>
      </w:tr>
      <w:tr w14:paraId="7A38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Pr>
          <w:p w14:paraId="773EA7FB">
            <w:pPr>
              <w:widowControl w:val="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8</w:t>
            </w:r>
          </w:p>
        </w:tc>
        <w:tc>
          <w:tcPr>
            <w:tcW w:w="750" w:type="dxa"/>
            <w:shd w:val="clear" w:color="auto" w:fill="auto"/>
            <w:vAlign w:val="center"/>
          </w:tcPr>
          <w:p w14:paraId="56459AAC">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排线</w:t>
            </w:r>
          </w:p>
        </w:tc>
        <w:tc>
          <w:tcPr>
            <w:tcW w:w="804" w:type="dxa"/>
            <w:shd w:val="clear" w:color="auto" w:fill="auto"/>
            <w:vAlign w:val="center"/>
          </w:tcPr>
          <w:p w14:paraId="20DA2542">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0.6米-0.8米</w:t>
            </w:r>
          </w:p>
        </w:tc>
        <w:tc>
          <w:tcPr>
            <w:tcW w:w="6573" w:type="dxa"/>
            <w:shd w:val="clear" w:color="auto" w:fill="auto"/>
            <w:vAlign w:val="center"/>
          </w:tcPr>
          <w:p w14:paraId="60650E21">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LED显示器专用排线</w:t>
            </w:r>
          </w:p>
        </w:tc>
        <w:tc>
          <w:tcPr>
            <w:tcW w:w="696" w:type="dxa"/>
            <w:vAlign w:val="center"/>
          </w:tcPr>
          <w:p w14:paraId="19649DBD">
            <w:pPr>
              <w:keepNext w:val="0"/>
              <w:keepLines w:val="0"/>
              <w:widowControl/>
              <w:suppressLineNumbers w:val="0"/>
              <w:jc w:val="center"/>
              <w:textAlignment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根</w:t>
            </w:r>
          </w:p>
        </w:tc>
        <w:tc>
          <w:tcPr>
            <w:tcW w:w="763" w:type="dxa"/>
            <w:shd w:val="clear" w:color="auto" w:fill="auto"/>
            <w:vAlign w:val="top"/>
          </w:tcPr>
          <w:p w14:paraId="1AE45373">
            <w:pPr>
              <w:widowControl w:val="0"/>
              <w:jc w:val="center"/>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b w:val="0"/>
                <w:bCs w:val="0"/>
                <w:sz w:val="21"/>
                <w:szCs w:val="21"/>
                <w:vertAlign w:val="baseline"/>
                <w:lang w:val="en-US" w:eastAsia="zh-CN"/>
              </w:rPr>
              <w:t>72</w:t>
            </w:r>
          </w:p>
        </w:tc>
        <w:tc>
          <w:tcPr>
            <w:tcW w:w="1378" w:type="dxa"/>
          </w:tcPr>
          <w:p w14:paraId="06CAB74D">
            <w:pPr>
              <w:widowControl w:val="0"/>
              <w:jc w:val="center"/>
              <w:rPr>
                <w:rFonts w:hint="eastAsia" w:ascii="仿宋" w:hAnsi="仿宋" w:eastAsia="仿宋" w:cs="仿宋"/>
                <w:b w:val="0"/>
                <w:bCs w:val="0"/>
                <w:sz w:val="21"/>
                <w:szCs w:val="21"/>
                <w:vertAlign w:val="baseline"/>
                <w:lang w:val="en-US" w:eastAsia="zh-CN"/>
              </w:rPr>
            </w:pPr>
          </w:p>
        </w:tc>
        <w:tc>
          <w:tcPr>
            <w:tcW w:w="1363" w:type="dxa"/>
          </w:tcPr>
          <w:p w14:paraId="79452C74">
            <w:pPr>
              <w:widowControl w:val="0"/>
              <w:jc w:val="center"/>
              <w:rPr>
                <w:rFonts w:hint="eastAsia" w:ascii="仿宋" w:hAnsi="仿宋" w:eastAsia="仿宋" w:cs="仿宋"/>
                <w:b w:val="0"/>
                <w:bCs w:val="0"/>
                <w:sz w:val="21"/>
                <w:szCs w:val="21"/>
                <w:vertAlign w:val="baseline"/>
                <w:lang w:val="en-US" w:eastAsia="zh-CN"/>
              </w:rPr>
            </w:pPr>
          </w:p>
        </w:tc>
        <w:tc>
          <w:tcPr>
            <w:tcW w:w="914" w:type="dxa"/>
          </w:tcPr>
          <w:p w14:paraId="27C68920">
            <w:pPr>
              <w:widowControl w:val="0"/>
              <w:jc w:val="center"/>
              <w:rPr>
                <w:rFonts w:hint="eastAsia" w:ascii="仿宋" w:hAnsi="仿宋" w:eastAsia="仿宋" w:cs="仿宋"/>
                <w:b w:val="0"/>
                <w:bCs w:val="0"/>
                <w:sz w:val="21"/>
                <w:szCs w:val="21"/>
                <w:vertAlign w:val="baseline"/>
                <w:lang w:val="en-US" w:eastAsia="zh-CN"/>
              </w:rPr>
            </w:pPr>
          </w:p>
        </w:tc>
      </w:tr>
    </w:tbl>
    <w:p w14:paraId="72B89867">
      <w:pPr>
        <w:rPr>
          <w:rFonts w:hint="eastAsia" w:ascii="方正仿宋_GBK" w:hAnsi="方正仿宋_GBK" w:eastAsia="方正仿宋_GBK" w:cs="方正仿宋_GBK"/>
          <w:b w:val="0"/>
          <w:bCs w:val="0"/>
          <w:sz w:val="28"/>
          <w:szCs w:val="28"/>
          <w:lang w:val="en-US" w:eastAsia="zh-CN"/>
        </w:rPr>
      </w:pPr>
    </w:p>
    <w:p w14:paraId="797C7A21">
      <w:pP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报价公司：</w:t>
      </w:r>
    </w:p>
    <w:p w14:paraId="1DCD739B">
      <w:pP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联系方式：</w:t>
      </w:r>
    </w:p>
    <w:p w14:paraId="1A01FC97">
      <w:pPr>
        <w:rPr>
          <w:rFonts w:ascii="方正仿宋_GBK" w:hAnsi="方正仿宋_GBK" w:eastAsia="方正仿宋_GBK" w:cs="方正仿宋_GBK"/>
          <w:sz w:val="28"/>
          <w:szCs w:val="28"/>
        </w:rPr>
      </w:pPr>
      <w:r>
        <w:rPr>
          <w:rFonts w:hint="eastAsia" w:ascii="方正仿宋_GBK" w:hAnsi="方正仿宋_GBK" w:eastAsia="方正仿宋_GBK" w:cs="方正仿宋_GBK"/>
          <w:b w:val="0"/>
          <w:bCs w:val="0"/>
          <w:sz w:val="28"/>
          <w:szCs w:val="28"/>
          <w:lang w:val="en-US" w:eastAsia="zh-CN"/>
        </w:rPr>
        <w:t>日期：</w:t>
      </w:r>
    </w:p>
    <w:p w14:paraId="39FF4FBE"/>
    <w:sectPr>
      <w:pgSz w:w="16838" w:h="11906" w:orient="landscape"/>
      <w:pgMar w:top="1417" w:right="1440" w:bottom="141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cript"/>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CC0CF0-73FC-4CC3-891D-24B65B2201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2" w:fontKey="{84A52AD2-DD18-4E76-8EBB-916420CD0001}"/>
  </w:font>
  <w:font w:name="方正小标宋_GBK">
    <w:panose1 w:val="02000000000000000000"/>
    <w:charset w:val="86"/>
    <w:family w:val="script"/>
    <w:pitch w:val="default"/>
    <w:sig w:usb0="A00002BF" w:usb1="38CF7CFA" w:usb2="00082016" w:usb3="00000000" w:csb0="00040001" w:csb1="00000000"/>
    <w:embedRegular r:id="rId3" w:fontKey="{34C73D71-711A-4384-8615-872DDE60B06D}"/>
  </w:font>
  <w:font w:name="Segoe UI">
    <w:panose1 w:val="020B0502040204020203"/>
    <w:charset w:val="00"/>
    <w:family w:val="swiss"/>
    <w:pitch w:val="default"/>
    <w:sig w:usb0="E4002EFF" w:usb1="C000E47F" w:usb2="00000009" w:usb3="00000000" w:csb0="200001FF" w:csb1="00000000"/>
    <w:embedRegular r:id="rId4" w:fontKey="{CBD9555A-265D-4F46-9F32-907C87E260FA}"/>
  </w:font>
  <w:font w:name="方正仿宋_GBK">
    <w:panose1 w:val="02000000000000000000"/>
    <w:charset w:val="86"/>
    <w:family w:val="script"/>
    <w:pitch w:val="default"/>
    <w:sig w:usb0="A00002BF" w:usb1="38CF7CFA" w:usb2="00082016" w:usb3="00000000" w:csb0="00040001" w:csb1="00000000"/>
    <w:embedRegular r:id="rId5" w:fontKey="{3B44DB91-F595-4FAB-B873-06C2531CF1B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lYjVjNzEwYzAyMGRjM2RkYzMwYTFiMDgxNDY4NTYifQ=="/>
  </w:docVars>
  <w:rsids>
    <w:rsidRoot w:val="37E87FE5"/>
    <w:rsid w:val="03F25E4D"/>
    <w:rsid w:val="0B262A11"/>
    <w:rsid w:val="0B5D1734"/>
    <w:rsid w:val="0C5C0A4B"/>
    <w:rsid w:val="0D1D346E"/>
    <w:rsid w:val="14956E74"/>
    <w:rsid w:val="1A4C6A89"/>
    <w:rsid w:val="1A72041A"/>
    <w:rsid w:val="207F4AB1"/>
    <w:rsid w:val="294029F9"/>
    <w:rsid w:val="2A1F1C10"/>
    <w:rsid w:val="346017F6"/>
    <w:rsid w:val="364934A3"/>
    <w:rsid w:val="37E87FE5"/>
    <w:rsid w:val="40DF4491"/>
    <w:rsid w:val="4AAD66F2"/>
    <w:rsid w:val="4DCC356C"/>
    <w:rsid w:val="527032B3"/>
    <w:rsid w:val="5EFB5BDF"/>
    <w:rsid w:val="609C0717"/>
    <w:rsid w:val="63653769"/>
    <w:rsid w:val="68DA7B32"/>
    <w:rsid w:val="74937979"/>
    <w:rsid w:val="75137722"/>
    <w:rsid w:val="77E66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5">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 w:hAnsi="仿宋" w:eastAsia="仿宋" w:cs="仿宋"/>
      <w:sz w:val="24"/>
      <w:lang w:val="zh-CN" w:bidi="zh-CN"/>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41"/>
    <w:basedOn w:val="5"/>
    <w:qFormat/>
    <w:uiPriority w:val="0"/>
    <w:rPr>
      <w:rFonts w:hint="eastAsia" w:ascii="宋体" w:hAnsi="宋体" w:eastAsia="宋体" w:cs="宋体"/>
      <w:color w:val="000000"/>
      <w:sz w:val="24"/>
      <w:szCs w:val="24"/>
      <w:u w:val="none"/>
    </w:rPr>
  </w:style>
  <w:style w:type="character" w:customStyle="1" w:styleId="7">
    <w:name w:val="font71"/>
    <w:basedOn w:val="5"/>
    <w:qFormat/>
    <w:uiPriority w:val="0"/>
    <w:rPr>
      <w:rFonts w:hint="eastAsia" w:ascii="宋体" w:hAnsi="宋体" w:eastAsia="宋体" w:cs="宋体"/>
      <w:color w:val="000000"/>
      <w:sz w:val="24"/>
      <w:szCs w:val="24"/>
      <w:u w:val="none"/>
    </w:rPr>
  </w:style>
  <w:style w:type="character" w:customStyle="1" w:styleId="8">
    <w:name w:val="font11"/>
    <w:basedOn w:val="5"/>
    <w:qFormat/>
    <w:uiPriority w:val="0"/>
    <w:rPr>
      <w:rFonts w:hint="eastAsia" w:ascii="宋体" w:hAnsi="宋体" w:eastAsia="宋体" w:cs="宋体"/>
      <w:color w:val="000000"/>
      <w:sz w:val="20"/>
      <w:szCs w:val="20"/>
      <w:u w:val="none"/>
    </w:rPr>
  </w:style>
  <w:style w:type="character" w:customStyle="1" w:styleId="9">
    <w:name w:val="font2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4778</Words>
  <Characters>5760</Characters>
  <Lines>0</Lines>
  <Paragraphs>0</Paragraphs>
  <TotalTime>20</TotalTime>
  <ScaleCrop>false</ScaleCrop>
  <LinksUpToDate>false</LinksUpToDate>
  <CharactersWithSpaces>5848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2024-03-06T05:58:00Z</dcterms:created>
  <dc:creator>喵了个咪</dc:creator>
  <cp:lastModifiedBy>泓泓泓</cp:lastModifiedBy>
  <cp:lastPrinted>2024-10-17T02:54:00Z</cp:lastPrinted>
  <dcterms:modified xsi:type="dcterms:W3CDTF">2024-12-24T03:12:57Z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4E3F788C8942455FB8973DB1BCE1AC5F_11</vt:lpwstr>
  </property>
</Properties>
</file>