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CF549">
      <w:pPr>
        <w:keepNext w:val="0"/>
        <w:keepLines w:val="0"/>
        <w:pageBreakBefore w:val="0"/>
        <w:widowControl w:val="0"/>
        <w:kinsoku/>
        <w:wordWrap/>
        <w:overflowPunct/>
        <w:topLinePunct w:val="0"/>
        <w:autoSpaceDE/>
        <w:autoSpaceDN/>
        <w:bidi w:val="0"/>
        <w:adjustRightInd/>
        <w:snapToGrid/>
        <w:spacing w:after="0" w:line="640" w:lineRule="exact"/>
        <w:jc w:val="left"/>
        <w:textAlignment w:val="auto"/>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附件：</w:t>
      </w:r>
    </w:p>
    <w:p w14:paraId="16783DAA">
      <w:pPr>
        <w:jc w:val="center"/>
        <w:rPr>
          <w:rFonts w:hint="eastAsia" w:ascii="方正小标宋_GBK" w:eastAsia="方正小标宋_GBK"/>
          <w:sz w:val="44"/>
          <w:szCs w:val="32"/>
          <w:lang w:val="en-US" w:eastAsia="zh-CN"/>
        </w:rPr>
      </w:pPr>
      <w:r>
        <w:rPr>
          <w:rFonts w:hint="eastAsia" w:ascii="方正小标宋_GBK" w:eastAsia="方正小标宋_GBK" w:cs="Times New Roman"/>
          <w:sz w:val="44"/>
          <w:szCs w:val="32"/>
          <w:lang w:val="en-US" w:eastAsia="zh-CN"/>
        </w:rPr>
        <w:t>成都市血液中心2024年冷链监控</w:t>
      </w:r>
      <w:bookmarkStart w:id="0" w:name="_GoBack"/>
      <w:bookmarkEnd w:id="0"/>
      <w:r>
        <w:rPr>
          <w:rFonts w:hint="eastAsia" w:ascii="方正小标宋_GBK" w:eastAsia="方正小标宋_GBK" w:cs="Times New Roman"/>
          <w:sz w:val="44"/>
          <w:szCs w:val="32"/>
          <w:lang w:val="en-US" w:eastAsia="zh-CN"/>
        </w:rPr>
        <w:t>服务</w:t>
      </w:r>
      <w:r>
        <w:rPr>
          <w:rFonts w:hint="eastAsia" w:ascii="方正小标宋_GBK" w:eastAsia="方正小标宋_GBK" w:cs="Times New Roman"/>
          <w:sz w:val="44"/>
          <w:szCs w:val="32"/>
          <w:lang w:val="en-US" w:eastAsia="zh-Hans"/>
        </w:rPr>
        <w:t>采</w:t>
      </w:r>
      <w:r>
        <w:rPr>
          <w:rFonts w:hint="eastAsia" w:ascii="方正小标宋_GBK" w:eastAsia="方正小标宋_GBK" w:cs="Times New Roman"/>
          <w:sz w:val="44"/>
          <w:szCs w:val="32"/>
          <w:lang w:val="en-US" w:eastAsia="zh-CN"/>
        </w:rPr>
        <w:t>购项目</w:t>
      </w:r>
    </w:p>
    <w:p w14:paraId="68DD6B63">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00" w:firstLineChars="200"/>
        <w:jc w:val="both"/>
        <w:textAlignment w:val="auto"/>
        <w:rPr>
          <w:rFonts w:hint="eastAsia"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bidi="ar-SA"/>
        </w:rPr>
        <w:t>一、</w:t>
      </w:r>
      <w:r>
        <w:rPr>
          <w:rFonts w:hint="eastAsia" w:ascii="黑体" w:hAnsi="黑体" w:eastAsia="黑体" w:cs="黑体"/>
          <w:color w:val="212529"/>
          <w:kern w:val="0"/>
          <w:sz w:val="30"/>
          <w:szCs w:val="30"/>
          <w:highlight w:val="none"/>
        </w:rPr>
        <w:t>项目</w:t>
      </w:r>
      <w:r>
        <w:rPr>
          <w:rFonts w:hint="eastAsia" w:ascii="黑体" w:hAnsi="黑体" w:eastAsia="黑体" w:cs="黑体"/>
          <w:color w:val="212529"/>
          <w:kern w:val="0"/>
          <w:sz w:val="30"/>
          <w:szCs w:val="30"/>
          <w:highlight w:val="none"/>
          <w:lang w:val="en-US" w:eastAsia="zh-CN"/>
        </w:rPr>
        <w:t>内容：</w:t>
      </w:r>
      <w:r>
        <w:rPr>
          <w:rFonts w:hint="eastAsia" w:ascii="仿宋" w:hAnsi="仿宋" w:eastAsia="仿宋" w:cs="Segoe UI"/>
          <w:color w:val="212529"/>
          <w:kern w:val="0"/>
          <w:sz w:val="30"/>
          <w:szCs w:val="30"/>
          <w:lang w:val="en-US" w:eastAsia="zh-CN"/>
        </w:rPr>
        <w:t>成都市血液中心2024年冷链监控服务</w:t>
      </w:r>
      <w:r>
        <w:rPr>
          <w:rFonts w:hint="eastAsia" w:ascii="仿宋" w:hAnsi="仿宋" w:eastAsia="仿宋" w:cs="Segoe UI"/>
          <w:color w:val="212529"/>
          <w:kern w:val="0"/>
          <w:sz w:val="30"/>
          <w:szCs w:val="30"/>
          <w:lang w:val="en-US" w:eastAsia="zh-Hans"/>
        </w:rPr>
        <w:t>采</w:t>
      </w:r>
      <w:r>
        <w:rPr>
          <w:rFonts w:hint="eastAsia" w:ascii="仿宋" w:hAnsi="仿宋" w:eastAsia="仿宋" w:cs="Segoe UI"/>
          <w:color w:val="212529"/>
          <w:kern w:val="0"/>
          <w:sz w:val="30"/>
          <w:szCs w:val="30"/>
          <w:lang w:val="en-US" w:eastAsia="zh-CN"/>
        </w:rPr>
        <w:t>购项目</w:t>
      </w:r>
    </w:p>
    <w:p w14:paraId="1C1C4E79">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00" w:firstLineChars="200"/>
        <w:jc w:val="both"/>
        <w:textAlignment w:val="auto"/>
        <w:rPr>
          <w:rFonts w:hint="default"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bidi="ar-SA"/>
        </w:rPr>
        <w:t>二、</w:t>
      </w:r>
      <w:r>
        <w:rPr>
          <w:rFonts w:hint="eastAsia" w:ascii="黑体" w:hAnsi="黑体" w:eastAsia="黑体" w:cs="黑体"/>
          <w:color w:val="212529"/>
          <w:kern w:val="0"/>
          <w:sz w:val="30"/>
          <w:szCs w:val="30"/>
          <w:highlight w:val="none"/>
          <w:lang w:val="en-US" w:eastAsia="zh-CN"/>
        </w:rPr>
        <w:t>资质要求：</w:t>
      </w:r>
    </w:p>
    <w:p w14:paraId="7D898914">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00" w:firstLineChars="200"/>
        <w:jc w:val="left"/>
        <w:textAlignment w:val="auto"/>
        <w:rPr>
          <w:rFonts w:hint="default"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1</w:t>
      </w:r>
      <w:r>
        <w:rPr>
          <w:rFonts w:hint="default" w:ascii="仿宋" w:hAnsi="仿宋" w:eastAsia="仿宋" w:cs="Segoe UI"/>
          <w:color w:val="212529"/>
          <w:kern w:val="0"/>
          <w:sz w:val="30"/>
          <w:szCs w:val="30"/>
          <w:lang w:val="en-US" w:eastAsia="zh-CN"/>
        </w:rPr>
        <w:t>.售后服务承诺；</w:t>
      </w:r>
    </w:p>
    <w:p w14:paraId="5A1A3C11">
      <w:pPr>
        <w:keepNext w:val="0"/>
        <w:keepLines w:val="0"/>
        <w:pageBreakBefore w:val="0"/>
        <w:widowControl w:val="0"/>
        <w:numPr>
          <w:numId w:val="0"/>
        </w:numPr>
        <w:kinsoku/>
        <w:wordWrap/>
        <w:overflowPunct/>
        <w:topLinePunct w:val="0"/>
        <w:autoSpaceDE/>
        <w:autoSpaceDN/>
        <w:bidi w:val="0"/>
        <w:adjustRightInd/>
        <w:snapToGrid/>
        <w:spacing w:after="0" w:line="360" w:lineRule="auto"/>
        <w:ind w:firstLine="600" w:firstLineChars="200"/>
        <w:jc w:val="left"/>
        <w:textAlignment w:val="auto"/>
        <w:rPr>
          <w:rFonts w:hint="default"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2</w:t>
      </w:r>
      <w:r>
        <w:rPr>
          <w:rFonts w:hint="default" w:ascii="仿宋" w:hAnsi="仿宋" w:eastAsia="仿宋" w:cs="Segoe UI"/>
          <w:color w:val="212529"/>
          <w:kern w:val="0"/>
          <w:sz w:val="30"/>
          <w:szCs w:val="30"/>
          <w:lang w:val="en-US" w:eastAsia="zh-CN"/>
        </w:rPr>
        <w:t>.具有</w:t>
      </w:r>
      <w:r>
        <w:rPr>
          <w:rFonts w:hint="eastAsia" w:ascii="仿宋" w:hAnsi="仿宋" w:eastAsia="仿宋" w:cs="Segoe UI"/>
          <w:color w:val="212529"/>
          <w:kern w:val="0"/>
          <w:sz w:val="30"/>
          <w:szCs w:val="30"/>
          <w:lang w:val="en-US" w:eastAsia="zh-CN"/>
        </w:rPr>
        <w:t>履约</w:t>
      </w:r>
      <w:r>
        <w:rPr>
          <w:rFonts w:hint="default" w:ascii="仿宋" w:hAnsi="仿宋" w:eastAsia="仿宋" w:cs="Segoe UI"/>
          <w:color w:val="212529"/>
          <w:kern w:val="0"/>
          <w:sz w:val="30"/>
          <w:szCs w:val="30"/>
          <w:lang w:val="en-US" w:eastAsia="zh-CN"/>
        </w:rPr>
        <w:t>所必须的产品和专业技术能力承诺书（原件）；</w:t>
      </w:r>
    </w:p>
    <w:p w14:paraId="74E96E31">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00" w:firstLineChars="200"/>
        <w:jc w:val="left"/>
        <w:textAlignment w:val="auto"/>
        <w:rPr>
          <w:rFonts w:hint="default" w:ascii="仿宋" w:hAnsi="仿宋" w:eastAsia="仿宋" w:cs="Segoe UI"/>
          <w:color w:val="212529"/>
          <w:kern w:val="0"/>
          <w:sz w:val="30"/>
          <w:szCs w:val="30"/>
          <w:lang w:val="en-US" w:eastAsia="zh-CN"/>
        </w:rPr>
      </w:pPr>
      <w:r>
        <w:rPr>
          <w:rFonts w:hint="eastAsia" w:ascii="仿宋" w:hAnsi="仿宋" w:eastAsia="仿宋" w:cs="Segoe UI"/>
          <w:color w:val="212529"/>
          <w:kern w:val="0"/>
          <w:sz w:val="30"/>
          <w:szCs w:val="30"/>
          <w:lang w:val="en-US" w:eastAsia="zh-CN"/>
        </w:rPr>
        <w:t>3</w:t>
      </w:r>
      <w:r>
        <w:rPr>
          <w:rFonts w:hint="default" w:ascii="仿宋" w:hAnsi="仿宋" w:eastAsia="仿宋" w:cs="Segoe UI"/>
          <w:color w:val="212529"/>
          <w:kern w:val="0"/>
          <w:sz w:val="30"/>
          <w:szCs w:val="30"/>
          <w:lang w:val="en-US" w:eastAsia="zh-CN"/>
        </w:rPr>
        <w:t>.参加本次采购活动前三年内，在经营活动中没有重大违法记录承诺书（原件）。</w:t>
      </w:r>
    </w:p>
    <w:p w14:paraId="4181A94B">
      <w:pPr>
        <w:pStyle w:val="9"/>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三、服务项目</w:t>
      </w:r>
    </w:p>
    <w:p w14:paraId="186DC545">
      <w:pPr>
        <w:pStyle w:val="9"/>
        <w:ind w:firstLine="640" w:firstLineChars="200"/>
        <w:rPr>
          <w:rFonts w:hint="eastAsia" w:ascii="黑体" w:hAnsi="黑体" w:eastAsia="黑体" w:cs="黑体"/>
          <w:color w:val="auto"/>
          <w:sz w:val="32"/>
          <w:szCs w:val="32"/>
          <w:lang w:val="en-US" w:eastAsia="zh-CN"/>
        </w:rPr>
      </w:pPr>
    </w:p>
    <w:p w14:paraId="216C1661">
      <w:pPr>
        <w:pStyle w:val="9"/>
        <w:ind w:firstLine="640" w:firstLineChars="200"/>
        <w:rPr>
          <w:rFonts w:hint="eastAsia" w:ascii="黑体" w:hAnsi="黑体" w:eastAsia="黑体" w:cs="黑体"/>
          <w:color w:val="auto"/>
          <w:sz w:val="32"/>
          <w:szCs w:val="32"/>
          <w:lang w:val="en-US" w:eastAsia="zh-CN"/>
        </w:rPr>
      </w:pPr>
    </w:p>
    <w:p w14:paraId="20C85299">
      <w:pPr>
        <w:pStyle w:val="9"/>
        <w:ind w:firstLine="640" w:firstLineChars="200"/>
        <w:rPr>
          <w:rFonts w:hint="eastAsia" w:ascii="黑体" w:hAnsi="黑体" w:eastAsia="黑体" w:cs="黑体"/>
          <w:color w:val="auto"/>
          <w:sz w:val="32"/>
          <w:szCs w:val="32"/>
          <w:lang w:val="en-US" w:eastAsia="zh-CN"/>
        </w:rPr>
      </w:pPr>
    </w:p>
    <w:p w14:paraId="3007D2DA">
      <w:pPr>
        <w:pStyle w:val="9"/>
        <w:ind w:firstLine="640" w:firstLineChars="200"/>
        <w:rPr>
          <w:rFonts w:hint="eastAsia" w:ascii="黑体" w:hAnsi="黑体" w:eastAsia="黑体" w:cs="黑体"/>
          <w:color w:val="auto"/>
          <w:sz w:val="32"/>
          <w:szCs w:val="32"/>
          <w:lang w:val="en-US" w:eastAsia="zh-CN"/>
        </w:rPr>
      </w:pPr>
    </w:p>
    <w:p w14:paraId="71376DD6">
      <w:pPr>
        <w:pStyle w:val="9"/>
        <w:ind w:firstLine="640" w:firstLineChars="200"/>
        <w:rPr>
          <w:rFonts w:hint="eastAsia" w:ascii="黑体" w:hAnsi="黑体" w:eastAsia="黑体" w:cs="黑体"/>
          <w:color w:val="auto"/>
          <w:sz w:val="32"/>
          <w:szCs w:val="32"/>
          <w:lang w:val="en-US" w:eastAsia="zh-CN"/>
        </w:rPr>
      </w:pPr>
    </w:p>
    <w:p w14:paraId="157BB548">
      <w:pPr>
        <w:pStyle w:val="9"/>
        <w:ind w:firstLine="640" w:firstLineChars="200"/>
        <w:rPr>
          <w:rFonts w:hint="default" w:ascii="黑体" w:hAnsi="黑体" w:eastAsia="黑体" w:cs="黑体"/>
          <w:color w:val="auto"/>
          <w:sz w:val="32"/>
          <w:szCs w:val="32"/>
          <w:lang w:val="en-US" w:eastAsia="zh-CN"/>
        </w:rPr>
      </w:pPr>
    </w:p>
    <w:tbl>
      <w:tblPr>
        <w:tblStyle w:val="5"/>
        <w:tblW w:w="0" w:type="auto"/>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935"/>
        <w:gridCol w:w="1995"/>
        <w:gridCol w:w="9075"/>
      </w:tblGrid>
      <w:tr w14:paraId="6CC9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14:paraId="68F50003">
            <w:pPr>
              <w:widowControl w:val="0"/>
              <w:adjustRightInd/>
              <w:snapToGrid/>
              <w:spacing w:after="0" w:line="360" w:lineRule="auto"/>
              <w:jc w:val="center"/>
              <w:rPr>
                <w:rFonts w:hint="default" w:ascii="方正仿宋_GB2312" w:hAnsi="方正仿宋_GB2312" w:eastAsia="方正仿宋_GB2312" w:cs="方正仿宋_GB2312"/>
                <w:b/>
                <w:bCs w:val="0"/>
                <w:color w:val="000000"/>
                <w:spacing w:val="8"/>
                <w:sz w:val="21"/>
                <w:szCs w:val="21"/>
                <w:vertAlign w:val="baseline"/>
                <w:lang w:val="en-US" w:eastAsia="zh-CN"/>
              </w:rPr>
            </w:pPr>
            <w:r>
              <w:rPr>
                <w:rFonts w:hint="eastAsia" w:ascii="方正仿宋_GB2312" w:hAnsi="方正仿宋_GB2312" w:eastAsia="方正仿宋_GB2312" w:cs="方正仿宋_GB2312"/>
                <w:b/>
                <w:bCs w:val="0"/>
                <w:color w:val="000000"/>
                <w:spacing w:val="8"/>
                <w:sz w:val="21"/>
                <w:szCs w:val="21"/>
                <w:vertAlign w:val="baseline"/>
                <w:lang w:val="en-US" w:eastAsia="zh-CN"/>
              </w:rPr>
              <w:t>序号</w:t>
            </w:r>
          </w:p>
        </w:tc>
        <w:tc>
          <w:tcPr>
            <w:tcW w:w="1935" w:type="dxa"/>
            <w:vAlign w:val="center"/>
          </w:tcPr>
          <w:p w14:paraId="564FEF3F">
            <w:pPr>
              <w:widowControl w:val="0"/>
              <w:adjustRightInd/>
              <w:snapToGrid/>
              <w:spacing w:after="0" w:line="360" w:lineRule="auto"/>
              <w:jc w:val="center"/>
              <w:rPr>
                <w:rFonts w:hint="default" w:ascii="方正仿宋_GB2312" w:hAnsi="方正仿宋_GB2312" w:eastAsia="方正仿宋_GB2312" w:cs="方正仿宋_GB2312"/>
                <w:b/>
                <w:bCs w:val="0"/>
                <w:color w:val="000000"/>
                <w:spacing w:val="8"/>
                <w:sz w:val="21"/>
                <w:szCs w:val="21"/>
                <w:vertAlign w:val="baseline"/>
                <w:lang w:val="en-US" w:eastAsia="zh-CN"/>
              </w:rPr>
            </w:pPr>
            <w:r>
              <w:rPr>
                <w:rFonts w:hint="eastAsia" w:ascii="方正仿宋_GB2312" w:hAnsi="方正仿宋_GB2312" w:eastAsia="方正仿宋_GB2312" w:cs="方正仿宋_GB2312"/>
                <w:b/>
                <w:bCs w:val="0"/>
                <w:color w:val="000000"/>
                <w:spacing w:val="8"/>
                <w:sz w:val="21"/>
                <w:szCs w:val="21"/>
                <w:vertAlign w:val="baseline"/>
                <w:lang w:val="en-US" w:eastAsia="zh-CN"/>
              </w:rPr>
              <w:t>服务项目</w:t>
            </w:r>
          </w:p>
        </w:tc>
        <w:tc>
          <w:tcPr>
            <w:tcW w:w="1995" w:type="dxa"/>
            <w:vAlign w:val="center"/>
          </w:tcPr>
          <w:p w14:paraId="55C52026">
            <w:pPr>
              <w:widowControl w:val="0"/>
              <w:adjustRightInd/>
              <w:snapToGrid/>
              <w:spacing w:after="0" w:line="360" w:lineRule="auto"/>
              <w:jc w:val="center"/>
              <w:rPr>
                <w:rFonts w:hint="default" w:ascii="方正仿宋_GB2312" w:hAnsi="方正仿宋_GB2312" w:eastAsia="方正仿宋_GB2312" w:cs="方正仿宋_GB2312"/>
                <w:b/>
                <w:bCs w:val="0"/>
                <w:color w:val="000000"/>
                <w:spacing w:val="8"/>
                <w:sz w:val="21"/>
                <w:szCs w:val="21"/>
                <w:vertAlign w:val="baseline"/>
                <w:lang w:val="en-US" w:eastAsia="zh-CN"/>
              </w:rPr>
            </w:pPr>
            <w:r>
              <w:rPr>
                <w:rFonts w:hint="eastAsia" w:ascii="方正仿宋_GB2312" w:hAnsi="方正仿宋_GB2312" w:eastAsia="方正仿宋_GB2312" w:cs="方正仿宋_GB2312"/>
                <w:b/>
                <w:bCs w:val="0"/>
                <w:color w:val="000000"/>
                <w:spacing w:val="8"/>
                <w:sz w:val="21"/>
                <w:szCs w:val="21"/>
                <w:vertAlign w:val="baseline"/>
                <w:lang w:val="en-US" w:eastAsia="zh-CN"/>
              </w:rPr>
              <w:t>服务名称</w:t>
            </w:r>
          </w:p>
        </w:tc>
        <w:tc>
          <w:tcPr>
            <w:tcW w:w="9075" w:type="dxa"/>
            <w:vAlign w:val="center"/>
          </w:tcPr>
          <w:p w14:paraId="52E2A4BB">
            <w:pPr>
              <w:widowControl w:val="0"/>
              <w:adjustRightInd/>
              <w:snapToGrid/>
              <w:spacing w:after="0" w:line="360" w:lineRule="auto"/>
              <w:jc w:val="center"/>
              <w:rPr>
                <w:rFonts w:hint="default" w:ascii="方正仿宋_GB2312" w:hAnsi="方正仿宋_GB2312" w:eastAsia="方正仿宋_GB2312" w:cs="方正仿宋_GB2312"/>
                <w:b/>
                <w:bCs w:val="0"/>
                <w:color w:val="000000"/>
                <w:spacing w:val="8"/>
                <w:sz w:val="21"/>
                <w:szCs w:val="21"/>
                <w:vertAlign w:val="baseline"/>
                <w:lang w:val="en-US" w:eastAsia="zh-CN"/>
              </w:rPr>
            </w:pPr>
            <w:r>
              <w:rPr>
                <w:rFonts w:hint="eastAsia" w:ascii="方正仿宋_GB2312" w:hAnsi="方正仿宋_GB2312" w:eastAsia="方正仿宋_GB2312" w:cs="方正仿宋_GB2312"/>
                <w:b/>
                <w:bCs w:val="0"/>
                <w:color w:val="000000"/>
                <w:spacing w:val="8"/>
                <w:sz w:val="21"/>
                <w:szCs w:val="21"/>
                <w:vertAlign w:val="baseline"/>
                <w:lang w:val="en-US" w:eastAsia="zh-CN"/>
              </w:rPr>
              <w:t>服务内容</w:t>
            </w:r>
          </w:p>
        </w:tc>
      </w:tr>
      <w:tr w14:paraId="2AF3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4" w:hRule="atLeast"/>
        </w:trPr>
        <w:tc>
          <w:tcPr>
            <w:tcW w:w="857" w:type="dxa"/>
            <w:vAlign w:val="center"/>
          </w:tcPr>
          <w:p w14:paraId="65AF00D3">
            <w:pPr>
              <w:keepNext w:val="0"/>
              <w:keepLines w:val="0"/>
              <w:pageBreakBefore w:val="0"/>
              <w:widowControl w:val="0"/>
              <w:kinsoku/>
              <w:wordWrap/>
              <w:overflowPunct/>
              <w:topLinePunct w:val="0"/>
              <w:autoSpaceDE/>
              <w:autoSpaceDN/>
              <w:bidi w:val="0"/>
              <w:adjustRightInd/>
              <w:snapToGrid/>
              <w:spacing w:after="0" w:line="240" w:lineRule="exact"/>
              <w:jc w:val="center"/>
              <w:rPr>
                <w:rFonts w:hint="eastAsia" w:ascii="方正仿宋_GB2312" w:hAnsi="方正仿宋_GB2312" w:eastAsia="方正仿宋_GB2312" w:cs="方正仿宋_GB2312"/>
                <w:bCs/>
                <w:color w:val="000000"/>
                <w:spacing w:val="8"/>
                <w:sz w:val="22"/>
                <w:szCs w:val="22"/>
                <w:vertAlign w:val="baseline"/>
                <w:lang w:val="en-US" w:eastAsia="zh-CN"/>
              </w:rPr>
            </w:pPr>
            <w:r>
              <w:rPr>
                <w:rFonts w:hint="eastAsia" w:ascii="方正仿宋_GB2312" w:hAnsi="方正仿宋_GB2312" w:eastAsia="方正仿宋_GB2312" w:cs="方正仿宋_GB2312"/>
                <w:bCs/>
                <w:color w:val="000000"/>
                <w:spacing w:val="8"/>
                <w:sz w:val="22"/>
                <w:szCs w:val="22"/>
                <w:vertAlign w:val="baseline"/>
                <w:lang w:val="en-US" w:eastAsia="zh-CN"/>
              </w:rPr>
              <w:t>1</w:t>
            </w:r>
          </w:p>
        </w:tc>
        <w:tc>
          <w:tcPr>
            <w:tcW w:w="1935" w:type="dxa"/>
            <w:vAlign w:val="center"/>
          </w:tcPr>
          <w:p w14:paraId="058F3903">
            <w:pPr>
              <w:keepNext w:val="0"/>
              <w:keepLines w:val="0"/>
              <w:pageBreakBefore w:val="0"/>
              <w:widowControl w:val="0"/>
              <w:kinsoku/>
              <w:wordWrap/>
              <w:overflowPunct/>
              <w:topLinePunct w:val="0"/>
              <w:autoSpaceDE/>
              <w:autoSpaceDN/>
              <w:bidi w:val="0"/>
              <w:adjustRightInd/>
              <w:snapToGrid/>
              <w:spacing w:after="0" w:line="240" w:lineRule="exact"/>
              <w:jc w:val="center"/>
              <w:rPr>
                <w:rFonts w:hint="eastAsia" w:ascii="方正仿宋_GB2312" w:hAnsi="方正仿宋_GB2312" w:eastAsia="方正仿宋_GB2312" w:cs="方正仿宋_GB2312"/>
                <w:bCs/>
                <w:color w:val="000000"/>
                <w:spacing w:val="8"/>
                <w:sz w:val="22"/>
                <w:szCs w:val="22"/>
                <w:vertAlign w:val="baseline"/>
                <w:lang w:val="en-US" w:eastAsia="zh-CN"/>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硬件服务</w:t>
            </w:r>
          </w:p>
        </w:tc>
        <w:tc>
          <w:tcPr>
            <w:tcW w:w="1995" w:type="dxa"/>
            <w:vAlign w:val="center"/>
          </w:tcPr>
          <w:p w14:paraId="745824D2">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方正仿宋_GB2312" w:hAnsi="方正仿宋_GB2312" w:eastAsia="方正仿宋_GB2312" w:cs="方正仿宋_GB2312"/>
                <w:bCs/>
                <w:color w:val="000000"/>
                <w:spacing w:val="8"/>
                <w:sz w:val="22"/>
                <w:szCs w:val="22"/>
                <w:vertAlign w:val="baseline"/>
                <w:lang w:val="en-US" w:eastAsia="zh-CN"/>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硬件维护</w:t>
            </w:r>
          </w:p>
        </w:tc>
        <w:tc>
          <w:tcPr>
            <w:tcW w:w="9075" w:type="dxa"/>
            <w:vAlign w:val="center"/>
          </w:tcPr>
          <w:p w14:paraId="2F8CFA79">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themeColor="text1"/>
                <w:kern w:val="0"/>
                <w:sz w:val="22"/>
                <w:szCs w:val="22"/>
                <w:u w:val="none"/>
                <w:lang w:val="en-US" w:eastAsia="zh-CN" w:bidi="ar"/>
                <w14:textFill>
                  <w14:solidFill>
                    <w14:schemeClr w14:val="tx1"/>
                  </w14:solidFill>
                </w14:textFill>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1.处理</w:t>
            </w:r>
            <w:r>
              <w:rPr>
                <w:rFonts w:hint="eastAsia" w:ascii="方正仿宋_GB2312" w:hAnsi="方正仿宋_GB2312" w:eastAsia="方正仿宋_GB2312" w:cs="方正仿宋_GB2312"/>
                <w:b w:val="0"/>
                <w:bCs w:val="0"/>
                <w:i w:val="0"/>
                <w:iCs w:val="0"/>
                <w:color w:val="000000" w:themeColor="text1"/>
                <w:kern w:val="0"/>
                <w:sz w:val="22"/>
                <w:szCs w:val="22"/>
                <w:u w:val="none"/>
                <w:lang w:val="en-US" w:eastAsia="zh-CN" w:bidi="ar"/>
                <w14:textFill>
                  <w14:solidFill>
                    <w14:schemeClr w14:val="tx1"/>
                  </w14:solidFill>
                </w14:textFill>
              </w:rPr>
              <w:t>监测测点探头等相关设备的日常故障，确保处理后的</w:t>
            </w:r>
            <w:r>
              <w:rPr>
                <w:rFonts w:hint="eastAsia" w:ascii="方正仿宋_GB2312" w:hAnsi="方正仿宋_GB2312" w:eastAsia="方正仿宋_GB2312" w:cs="方正仿宋_GB2312"/>
                <w:color w:val="000000" w:themeColor="text1"/>
                <w:u w:val="none"/>
                <w:lang w:val="en-US" w:eastAsia="zh-CN"/>
                <w14:textFill>
                  <w14:solidFill>
                    <w14:schemeClr w14:val="tx1"/>
                  </w14:solidFill>
                </w14:textFill>
              </w:rPr>
              <w:t>设备性能应达到生产厂家标准及相应国家标准要求</w:t>
            </w:r>
            <w:r>
              <w:rPr>
                <w:rFonts w:hint="eastAsia" w:ascii="方正仿宋_GB2312" w:hAnsi="方正仿宋_GB2312" w:eastAsia="方正仿宋_GB2312" w:cs="方正仿宋_GB2312"/>
                <w:b w:val="0"/>
                <w:bCs w:val="0"/>
                <w:i w:val="0"/>
                <w:iCs w:val="0"/>
                <w:color w:val="000000" w:themeColor="text1"/>
                <w:kern w:val="0"/>
                <w:sz w:val="22"/>
                <w:szCs w:val="22"/>
                <w:u w:val="none"/>
                <w:lang w:val="en-US" w:eastAsia="zh-CN" w:bidi="ar"/>
                <w14:textFill>
                  <w14:solidFill>
                    <w14:schemeClr w14:val="tx1"/>
                  </w14:solidFill>
                </w14:textFill>
              </w:rPr>
              <w:t>；根据采购人的工作需要提供备用设备以保持数据连续性、完整性和有效性；</w:t>
            </w:r>
          </w:p>
          <w:p w14:paraId="35A0EB4C">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2.集中显示大屏的日常故障处理，处理</w:t>
            </w:r>
            <w:r>
              <w:rPr>
                <w:rFonts w:hint="eastAsia" w:ascii="方正仿宋_GB2312" w:hAnsi="方正仿宋_GB2312" w:eastAsia="方正仿宋_GB2312" w:cs="方正仿宋_GB2312"/>
                <w:color w:val="auto"/>
                <w:u w:val="none"/>
                <w:lang w:val="en-US" w:eastAsia="zh-CN"/>
              </w:rPr>
              <w:t>后设备性能应达到生产厂家标准及相应国家标准要求</w:t>
            </w: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w:t>
            </w:r>
          </w:p>
          <w:p w14:paraId="0B56CC0B">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3.区域管理主机的处理，处理</w:t>
            </w:r>
            <w:r>
              <w:rPr>
                <w:rFonts w:hint="eastAsia" w:ascii="方正仿宋_GB2312" w:hAnsi="方正仿宋_GB2312" w:eastAsia="方正仿宋_GB2312" w:cs="方正仿宋_GB2312"/>
                <w:color w:val="auto"/>
                <w:u w:val="none"/>
                <w:lang w:val="en-US" w:eastAsia="zh-CN"/>
              </w:rPr>
              <w:t>后设备性能应达到生产厂家标准及相应国家标准要求</w:t>
            </w: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；根据采购人的工作需要，维修时提供备用设备以保持数据连续性、完整性和有效性；</w:t>
            </w:r>
          </w:p>
          <w:p w14:paraId="331C4C7B">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4.按监测测点相关设备通道数量对温湿度变送器、移动温湿度记录仪等进行精度纠偏，确保其准确度符合采购人业务工作要求；根据采购人的工作需要，提供备用设备以保持数据连续性、完整性和有效性；</w:t>
            </w:r>
          </w:p>
          <w:p w14:paraId="775AEF91">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5.按采购人的工作需要，提供升级区域管理主机通讯方式、区域管理主机扩容等升级服务；提供设备外观定制、安装规划等个体化的方案策划。</w:t>
            </w:r>
          </w:p>
        </w:tc>
      </w:tr>
      <w:tr w14:paraId="57BF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857" w:type="dxa"/>
            <w:vMerge w:val="restart"/>
            <w:vAlign w:val="center"/>
          </w:tcPr>
          <w:p w14:paraId="753A9492">
            <w:pPr>
              <w:keepNext w:val="0"/>
              <w:keepLines w:val="0"/>
              <w:pageBreakBefore w:val="0"/>
              <w:widowControl w:val="0"/>
              <w:kinsoku/>
              <w:wordWrap/>
              <w:overflowPunct/>
              <w:topLinePunct w:val="0"/>
              <w:autoSpaceDE/>
              <w:autoSpaceDN/>
              <w:bidi w:val="0"/>
              <w:adjustRightInd/>
              <w:snapToGrid/>
              <w:spacing w:after="0" w:line="240" w:lineRule="exact"/>
              <w:jc w:val="center"/>
              <w:rPr>
                <w:rFonts w:hint="default" w:ascii="方正仿宋_GB2312" w:hAnsi="方正仿宋_GB2312" w:eastAsia="方正仿宋_GB2312" w:cs="方正仿宋_GB2312"/>
                <w:bCs/>
                <w:color w:val="000000"/>
                <w:spacing w:val="8"/>
                <w:sz w:val="22"/>
                <w:szCs w:val="22"/>
                <w:vertAlign w:val="baseline"/>
                <w:lang w:val="en-US" w:eastAsia="zh-CN"/>
              </w:rPr>
            </w:pPr>
            <w:r>
              <w:rPr>
                <w:rFonts w:hint="eastAsia" w:ascii="方正仿宋_GB2312" w:hAnsi="方正仿宋_GB2312" w:eastAsia="方正仿宋_GB2312" w:cs="方正仿宋_GB2312"/>
                <w:bCs/>
                <w:color w:val="000000"/>
                <w:spacing w:val="8"/>
                <w:sz w:val="22"/>
                <w:szCs w:val="22"/>
                <w:vertAlign w:val="baseline"/>
                <w:lang w:val="en-US" w:eastAsia="zh-CN"/>
              </w:rPr>
              <w:t>2</w:t>
            </w:r>
          </w:p>
        </w:tc>
        <w:tc>
          <w:tcPr>
            <w:tcW w:w="1935" w:type="dxa"/>
            <w:vMerge w:val="restart"/>
            <w:shd w:val="clear" w:color="auto" w:fill="auto"/>
            <w:vAlign w:val="center"/>
          </w:tcPr>
          <w:p w14:paraId="305614B0">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default"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平台服务</w:t>
            </w:r>
          </w:p>
        </w:tc>
        <w:tc>
          <w:tcPr>
            <w:tcW w:w="1995" w:type="dxa"/>
            <w:shd w:val="clear" w:color="auto" w:fill="auto"/>
            <w:vAlign w:val="center"/>
          </w:tcPr>
          <w:p w14:paraId="654D8995">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平台参数设置</w:t>
            </w:r>
          </w:p>
        </w:tc>
        <w:tc>
          <w:tcPr>
            <w:tcW w:w="9075" w:type="dxa"/>
            <w:shd w:val="clear" w:color="auto" w:fill="auto"/>
            <w:vAlign w:val="center"/>
          </w:tcPr>
          <w:p w14:paraId="0BFBD7BE">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确保仪器参数、报警参数（声光、短信、人员）及中心相关人员权限等各项参数的设置均满足GSP要求，并定期实时同步更新。</w:t>
            </w:r>
          </w:p>
        </w:tc>
      </w:tr>
      <w:tr w14:paraId="2380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7" w:type="dxa"/>
            <w:vMerge w:val="continue"/>
            <w:vAlign w:val="center"/>
          </w:tcPr>
          <w:p w14:paraId="42FFCBAB">
            <w:pPr>
              <w:keepNext w:val="0"/>
              <w:keepLines w:val="0"/>
              <w:pageBreakBefore w:val="0"/>
              <w:widowControl w:val="0"/>
              <w:kinsoku/>
              <w:wordWrap/>
              <w:overflowPunct/>
              <w:topLinePunct w:val="0"/>
              <w:autoSpaceDE/>
              <w:autoSpaceDN/>
              <w:bidi w:val="0"/>
              <w:adjustRightInd/>
              <w:snapToGrid/>
              <w:spacing w:after="0" w:line="240" w:lineRule="exact"/>
              <w:jc w:val="center"/>
              <w:rPr>
                <w:rFonts w:hint="eastAsia" w:ascii="方正仿宋_GB2312" w:hAnsi="方正仿宋_GB2312" w:eastAsia="方正仿宋_GB2312" w:cs="方正仿宋_GB2312"/>
                <w:bCs/>
                <w:color w:val="000000"/>
                <w:spacing w:val="8"/>
                <w:sz w:val="22"/>
                <w:szCs w:val="22"/>
                <w:vertAlign w:val="baseline"/>
                <w:lang w:val="en-US" w:eastAsia="zh-CN"/>
              </w:rPr>
            </w:pPr>
          </w:p>
        </w:tc>
        <w:tc>
          <w:tcPr>
            <w:tcW w:w="1935" w:type="dxa"/>
            <w:vMerge w:val="continue"/>
            <w:shd w:val="clear" w:color="auto" w:fill="auto"/>
            <w:vAlign w:val="center"/>
          </w:tcPr>
          <w:p w14:paraId="00149C37">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方正仿宋_GB2312" w:hAnsi="方正仿宋_GB2312" w:eastAsia="方正仿宋_GB2312" w:cs="方正仿宋_GB2312"/>
                <w:b w:val="0"/>
                <w:bCs w:val="0"/>
                <w:i w:val="0"/>
                <w:iCs w:val="0"/>
                <w:color w:val="000000"/>
                <w:sz w:val="22"/>
                <w:szCs w:val="22"/>
                <w:u w:val="none"/>
                <w:lang w:val="en-US" w:eastAsia="zh-CN" w:bidi="ar-SA"/>
              </w:rPr>
            </w:pPr>
          </w:p>
        </w:tc>
        <w:tc>
          <w:tcPr>
            <w:tcW w:w="1995" w:type="dxa"/>
            <w:shd w:val="clear" w:color="auto" w:fill="auto"/>
            <w:vAlign w:val="center"/>
          </w:tcPr>
          <w:p w14:paraId="75034AEC">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方正仿宋_GB2312" w:hAnsi="方正仿宋_GB2312" w:eastAsia="方正仿宋_GB2312" w:cs="方正仿宋_GB2312"/>
                <w:b w:val="0"/>
                <w:bCs w:val="0"/>
                <w:i w:val="0"/>
                <w:iCs w:val="0"/>
                <w:color w:val="000000"/>
                <w:sz w:val="22"/>
                <w:szCs w:val="22"/>
                <w:u w:val="none"/>
                <w:lang w:val="en-US" w:eastAsia="zh-CN" w:bidi="ar-SA"/>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预警短信平台</w:t>
            </w:r>
          </w:p>
        </w:tc>
        <w:tc>
          <w:tcPr>
            <w:tcW w:w="9075" w:type="dxa"/>
            <w:shd w:val="clear" w:color="auto" w:fill="auto"/>
            <w:vAlign w:val="center"/>
          </w:tcPr>
          <w:p w14:paraId="39349838">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sz w:val="22"/>
                <w:szCs w:val="22"/>
                <w:u w:val="none"/>
                <w:lang w:val="en-US" w:eastAsia="zh-CN" w:bidi="ar-SA"/>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1.提供全年的短信报警服务，按每个检测点预存500条预警短信的标准进行预充值；</w:t>
            </w:r>
          </w:p>
          <w:p w14:paraId="46F7BC1E">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sz w:val="22"/>
                <w:szCs w:val="22"/>
                <w:u w:val="none"/>
                <w:lang w:val="en-US" w:eastAsia="zh-CN" w:bidi="ar-SA"/>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2.对短信报警系统定期维护，确保正常运行。</w:t>
            </w:r>
          </w:p>
        </w:tc>
      </w:tr>
      <w:tr w14:paraId="2C0C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7" w:type="dxa"/>
            <w:vMerge w:val="continue"/>
            <w:vAlign w:val="center"/>
          </w:tcPr>
          <w:p w14:paraId="214CDA5F">
            <w:pPr>
              <w:keepNext w:val="0"/>
              <w:keepLines w:val="0"/>
              <w:pageBreakBefore w:val="0"/>
              <w:widowControl w:val="0"/>
              <w:kinsoku/>
              <w:wordWrap/>
              <w:overflowPunct/>
              <w:topLinePunct w:val="0"/>
              <w:autoSpaceDE/>
              <w:autoSpaceDN/>
              <w:bidi w:val="0"/>
              <w:adjustRightInd/>
              <w:snapToGrid/>
              <w:spacing w:after="0" w:line="240" w:lineRule="exact"/>
              <w:jc w:val="center"/>
              <w:rPr>
                <w:rFonts w:hint="eastAsia" w:ascii="方正仿宋_GB2312" w:hAnsi="方正仿宋_GB2312" w:eastAsia="方正仿宋_GB2312" w:cs="方正仿宋_GB2312"/>
                <w:bCs/>
                <w:color w:val="000000"/>
                <w:spacing w:val="8"/>
                <w:sz w:val="22"/>
                <w:szCs w:val="22"/>
                <w:vertAlign w:val="baseline"/>
                <w:lang w:val="en-US" w:eastAsia="zh-CN"/>
              </w:rPr>
            </w:pPr>
          </w:p>
        </w:tc>
        <w:tc>
          <w:tcPr>
            <w:tcW w:w="1935" w:type="dxa"/>
            <w:vMerge w:val="continue"/>
            <w:vAlign w:val="center"/>
          </w:tcPr>
          <w:p w14:paraId="781C48F6">
            <w:pPr>
              <w:keepNext w:val="0"/>
              <w:keepLines w:val="0"/>
              <w:pageBreakBefore w:val="0"/>
              <w:widowControl w:val="0"/>
              <w:kinsoku/>
              <w:wordWrap/>
              <w:overflowPunct/>
              <w:topLinePunct w:val="0"/>
              <w:autoSpaceDE/>
              <w:autoSpaceDN/>
              <w:bidi w:val="0"/>
              <w:adjustRightInd/>
              <w:snapToGrid/>
              <w:spacing w:after="0" w:line="240" w:lineRule="exact"/>
              <w:jc w:val="center"/>
              <w:rPr>
                <w:rFonts w:hint="eastAsia" w:ascii="方正仿宋_GB2312" w:hAnsi="方正仿宋_GB2312" w:eastAsia="方正仿宋_GB2312" w:cs="方正仿宋_GB2312"/>
                <w:bCs/>
                <w:color w:val="000000"/>
                <w:spacing w:val="8"/>
                <w:sz w:val="22"/>
                <w:szCs w:val="22"/>
                <w:vertAlign w:val="baseline"/>
                <w:lang w:val="en-US" w:eastAsia="zh-CN"/>
              </w:rPr>
            </w:pPr>
          </w:p>
        </w:tc>
        <w:tc>
          <w:tcPr>
            <w:tcW w:w="1995" w:type="dxa"/>
            <w:shd w:val="clear" w:color="auto" w:fill="auto"/>
            <w:vAlign w:val="center"/>
          </w:tcPr>
          <w:p w14:paraId="51B71446">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center"/>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数据传输服务</w:t>
            </w:r>
          </w:p>
        </w:tc>
        <w:tc>
          <w:tcPr>
            <w:tcW w:w="9075" w:type="dxa"/>
            <w:shd w:val="clear" w:color="auto" w:fill="auto"/>
            <w:vAlign w:val="center"/>
          </w:tcPr>
          <w:p w14:paraId="73C83A92">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1.对数据传输平台进行维修维护，平台功能始终更新至最新最优化版本，确保数据传输的连续性、完整性和有效性；</w:t>
            </w:r>
          </w:p>
          <w:p w14:paraId="5F3B2963">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2.全面保障数据安全性，程序加密保存，数据保存到采购人指定路径，可对数据进行人工保存；</w:t>
            </w:r>
          </w:p>
          <w:p w14:paraId="15872506">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default"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3.提供本地局域网内客户端安装（不限数量）和实时查看等客户端便捷性功能服务</w:t>
            </w:r>
          </w:p>
          <w:p w14:paraId="23729CA3">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4.中心相关设施设备线路原因、软件冲突原因导致数据不刷新等故障的排查及处理；</w:t>
            </w:r>
          </w:p>
          <w:p w14:paraId="09170DC4">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5通讯端口损坏后更换；</w:t>
            </w:r>
          </w:p>
          <w:p w14:paraId="4484E846">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6.通讯配件损坏后更换；</w:t>
            </w:r>
          </w:p>
          <w:p w14:paraId="43A8D5CB">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7.电源损坏后更换；</w:t>
            </w:r>
          </w:p>
          <w:p w14:paraId="18F31E5D">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8.设备自身电池原因故障后更换；</w:t>
            </w:r>
          </w:p>
          <w:p w14:paraId="256374C5">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9.数据端口设置错误后恢复；</w:t>
            </w:r>
          </w:p>
          <w:p w14:paraId="160DDCE9">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10.规定时长内数据修复。</w:t>
            </w:r>
          </w:p>
        </w:tc>
      </w:tr>
      <w:tr w14:paraId="2FEA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7" w:type="dxa"/>
            <w:vAlign w:val="center"/>
          </w:tcPr>
          <w:p w14:paraId="72844009">
            <w:pPr>
              <w:keepNext w:val="0"/>
              <w:keepLines w:val="0"/>
              <w:pageBreakBefore w:val="0"/>
              <w:widowControl w:val="0"/>
              <w:kinsoku/>
              <w:wordWrap/>
              <w:overflowPunct/>
              <w:topLinePunct w:val="0"/>
              <w:autoSpaceDE/>
              <w:autoSpaceDN/>
              <w:bidi w:val="0"/>
              <w:adjustRightInd/>
              <w:snapToGrid/>
              <w:spacing w:after="0" w:line="240" w:lineRule="exact"/>
              <w:jc w:val="center"/>
              <w:rPr>
                <w:rFonts w:hint="default" w:ascii="方正仿宋_GB2312" w:hAnsi="方正仿宋_GB2312" w:eastAsia="方正仿宋_GB2312" w:cs="方正仿宋_GB2312"/>
                <w:bCs/>
                <w:color w:val="000000"/>
                <w:spacing w:val="8"/>
                <w:sz w:val="22"/>
                <w:szCs w:val="22"/>
                <w:vertAlign w:val="baseline"/>
                <w:lang w:val="en-US" w:eastAsia="zh-CN"/>
              </w:rPr>
            </w:pPr>
            <w:r>
              <w:rPr>
                <w:rFonts w:hint="eastAsia" w:ascii="方正仿宋_GB2312" w:hAnsi="方正仿宋_GB2312" w:eastAsia="方正仿宋_GB2312" w:cs="方正仿宋_GB2312"/>
                <w:bCs/>
                <w:color w:val="000000"/>
                <w:spacing w:val="8"/>
                <w:sz w:val="22"/>
                <w:szCs w:val="22"/>
                <w:vertAlign w:val="baseline"/>
                <w:lang w:val="en-US" w:eastAsia="zh-CN"/>
              </w:rPr>
              <w:t>3</w:t>
            </w:r>
          </w:p>
        </w:tc>
        <w:tc>
          <w:tcPr>
            <w:tcW w:w="1935" w:type="dxa"/>
            <w:shd w:val="clear" w:color="auto" w:fill="auto"/>
            <w:vAlign w:val="center"/>
          </w:tcPr>
          <w:p w14:paraId="31065DF3">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方正仿宋_GB2312" w:hAnsi="方正仿宋_GB2312" w:eastAsia="方正仿宋_GB2312" w:cs="方正仿宋_GB2312"/>
                <w:b w:val="0"/>
                <w:bCs w:val="0"/>
                <w:i w:val="0"/>
                <w:iCs w:val="0"/>
                <w:color w:val="000000"/>
                <w:sz w:val="22"/>
                <w:szCs w:val="22"/>
                <w:u w:val="none"/>
                <w:lang w:val="en-US" w:eastAsia="zh-CN" w:bidi="ar-SA"/>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检测服务</w:t>
            </w:r>
          </w:p>
        </w:tc>
        <w:tc>
          <w:tcPr>
            <w:tcW w:w="1995" w:type="dxa"/>
            <w:shd w:val="clear" w:color="auto" w:fill="auto"/>
            <w:vAlign w:val="center"/>
          </w:tcPr>
          <w:p w14:paraId="1E1A30E4">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方正仿宋_GB2312" w:hAnsi="方正仿宋_GB2312" w:eastAsia="方正仿宋_GB2312" w:cs="方正仿宋_GB2312"/>
                <w:b w:val="0"/>
                <w:bCs w:val="0"/>
                <w:i w:val="0"/>
                <w:iCs w:val="0"/>
                <w:color w:val="000000"/>
                <w:sz w:val="22"/>
                <w:szCs w:val="22"/>
                <w:u w:val="none"/>
                <w:lang w:val="en-US" w:eastAsia="zh-CN" w:bidi="ar-SA"/>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探头第三方校准</w:t>
            </w:r>
          </w:p>
        </w:tc>
        <w:tc>
          <w:tcPr>
            <w:tcW w:w="9075" w:type="dxa"/>
            <w:shd w:val="clear" w:color="auto" w:fill="auto"/>
            <w:vAlign w:val="center"/>
          </w:tcPr>
          <w:p w14:paraId="3B98F095">
            <w:pPr>
              <w:keepNext w:val="0"/>
              <w:keepLines w:val="0"/>
              <w:pageBreakBefore w:val="0"/>
              <w:widowControl w:val="0"/>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sz w:val="22"/>
                <w:szCs w:val="22"/>
                <w:u w:val="none"/>
                <w:lang w:val="en-US" w:eastAsia="zh-CN" w:bidi="ar-SA"/>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到采购人指定地点上门服务，提供具有CNAS实验室校准资质的单位出具的年度校准报告。</w:t>
            </w:r>
          </w:p>
        </w:tc>
      </w:tr>
      <w:tr w14:paraId="4703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7" w:type="dxa"/>
            <w:vMerge w:val="restart"/>
            <w:vAlign w:val="center"/>
          </w:tcPr>
          <w:p w14:paraId="3CDFA2D7">
            <w:pPr>
              <w:keepNext w:val="0"/>
              <w:keepLines w:val="0"/>
              <w:pageBreakBefore w:val="0"/>
              <w:widowControl w:val="0"/>
              <w:kinsoku/>
              <w:wordWrap/>
              <w:overflowPunct/>
              <w:topLinePunct w:val="0"/>
              <w:autoSpaceDE/>
              <w:autoSpaceDN/>
              <w:bidi w:val="0"/>
              <w:adjustRightInd/>
              <w:snapToGrid/>
              <w:spacing w:after="0" w:line="240" w:lineRule="exact"/>
              <w:jc w:val="center"/>
              <w:rPr>
                <w:rFonts w:hint="default" w:ascii="方正仿宋_GB2312" w:hAnsi="方正仿宋_GB2312" w:eastAsia="方正仿宋_GB2312" w:cs="方正仿宋_GB2312"/>
                <w:bCs/>
                <w:color w:val="000000"/>
                <w:spacing w:val="8"/>
                <w:sz w:val="22"/>
                <w:szCs w:val="22"/>
                <w:vertAlign w:val="baseline"/>
                <w:lang w:val="en-US" w:eastAsia="zh-CN"/>
              </w:rPr>
            </w:pPr>
            <w:r>
              <w:rPr>
                <w:rFonts w:hint="eastAsia" w:ascii="方正仿宋_GB2312" w:hAnsi="方正仿宋_GB2312" w:eastAsia="方正仿宋_GB2312" w:cs="方正仿宋_GB2312"/>
                <w:bCs/>
                <w:color w:val="000000"/>
                <w:spacing w:val="8"/>
                <w:sz w:val="22"/>
                <w:szCs w:val="22"/>
                <w:vertAlign w:val="baseline"/>
                <w:lang w:val="en-US" w:eastAsia="zh-CN"/>
              </w:rPr>
              <w:t>4</w:t>
            </w:r>
          </w:p>
        </w:tc>
        <w:tc>
          <w:tcPr>
            <w:tcW w:w="1935" w:type="dxa"/>
            <w:vMerge w:val="restart"/>
            <w:vAlign w:val="center"/>
          </w:tcPr>
          <w:p w14:paraId="350A97BA">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巡检服务</w:t>
            </w:r>
          </w:p>
        </w:tc>
        <w:tc>
          <w:tcPr>
            <w:tcW w:w="1995" w:type="dxa"/>
            <w:vAlign w:val="center"/>
          </w:tcPr>
          <w:p w14:paraId="7E011127">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方正仿宋_GB2312" w:hAnsi="方正仿宋_GB2312" w:eastAsia="方正仿宋_GB2312" w:cs="方正仿宋_GB2312"/>
                <w:i w:val="0"/>
                <w:iCs w:val="0"/>
                <w:color w:val="auto"/>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设施设备巡检</w:t>
            </w:r>
          </w:p>
        </w:tc>
        <w:tc>
          <w:tcPr>
            <w:tcW w:w="9075" w:type="dxa"/>
            <w:vAlign w:val="center"/>
          </w:tcPr>
          <w:p w14:paraId="3C487B06">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1.定期（每月至少一次，并在春节前、五一节前、国庆节前重点巡检）巡检中心相关固有设施及监测设备，排查设备隐患，进行风险评估并出具分析报告；</w:t>
            </w:r>
          </w:p>
          <w:p w14:paraId="5CC1BA0E">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2.定期清洁、养护设备，提出使用操作建议。</w:t>
            </w:r>
          </w:p>
        </w:tc>
      </w:tr>
      <w:tr w14:paraId="6E23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7" w:type="dxa"/>
            <w:vMerge w:val="continue"/>
            <w:vAlign w:val="center"/>
          </w:tcPr>
          <w:p w14:paraId="40D762E6">
            <w:pPr>
              <w:keepNext w:val="0"/>
              <w:keepLines w:val="0"/>
              <w:pageBreakBefore w:val="0"/>
              <w:widowControl w:val="0"/>
              <w:kinsoku/>
              <w:wordWrap/>
              <w:overflowPunct/>
              <w:topLinePunct w:val="0"/>
              <w:autoSpaceDE/>
              <w:autoSpaceDN/>
              <w:bidi w:val="0"/>
              <w:adjustRightInd/>
              <w:snapToGrid/>
              <w:spacing w:after="0" w:line="240" w:lineRule="exact"/>
              <w:jc w:val="center"/>
              <w:rPr>
                <w:rFonts w:hint="eastAsia" w:ascii="方正仿宋_GB2312" w:hAnsi="方正仿宋_GB2312" w:eastAsia="方正仿宋_GB2312" w:cs="方正仿宋_GB2312"/>
                <w:bCs/>
                <w:color w:val="000000"/>
                <w:spacing w:val="8"/>
                <w:sz w:val="22"/>
                <w:szCs w:val="22"/>
                <w:vertAlign w:val="baseline"/>
                <w:lang w:val="en-US" w:eastAsia="zh-CN"/>
              </w:rPr>
            </w:pPr>
          </w:p>
        </w:tc>
        <w:tc>
          <w:tcPr>
            <w:tcW w:w="1935" w:type="dxa"/>
            <w:vMerge w:val="continue"/>
            <w:vAlign w:val="center"/>
          </w:tcPr>
          <w:p w14:paraId="31E40610">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p>
        </w:tc>
        <w:tc>
          <w:tcPr>
            <w:tcW w:w="1995" w:type="dxa"/>
            <w:vAlign w:val="center"/>
          </w:tcPr>
          <w:p w14:paraId="50060D6F">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方正仿宋_GB2312" w:hAnsi="方正仿宋_GB2312" w:eastAsia="方正仿宋_GB2312" w:cs="方正仿宋_GB2312"/>
                <w:i w:val="0"/>
                <w:iCs w:val="0"/>
                <w:color w:val="auto"/>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平台功能巡检</w:t>
            </w:r>
          </w:p>
        </w:tc>
        <w:tc>
          <w:tcPr>
            <w:tcW w:w="9075" w:type="dxa"/>
            <w:vAlign w:val="center"/>
          </w:tcPr>
          <w:p w14:paraId="17AA4EB0">
            <w:pPr>
              <w:keepNext w:val="0"/>
              <w:keepLines w:val="0"/>
              <w:pageBreakBefore w:val="0"/>
              <w:widowControl w:val="0"/>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定期巡检平台各项功能参数，提供功能性测试结果，确保功能达标；</w:t>
            </w: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排查平台运行隐患，进行风险评估并出具分析报告。</w:t>
            </w:r>
          </w:p>
        </w:tc>
      </w:tr>
      <w:tr w14:paraId="5EAC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7" w:type="dxa"/>
            <w:vMerge w:val="continue"/>
            <w:vAlign w:val="center"/>
          </w:tcPr>
          <w:p w14:paraId="47AADAF1">
            <w:pPr>
              <w:keepNext w:val="0"/>
              <w:keepLines w:val="0"/>
              <w:pageBreakBefore w:val="0"/>
              <w:widowControl w:val="0"/>
              <w:kinsoku/>
              <w:wordWrap/>
              <w:overflowPunct/>
              <w:topLinePunct w:val="0"/>
              <w:autoSpaceDE/>
              <w:autoSpaceDN/>
              <w:bidi w:val="0"/>
              <w:adjustRightInd/>
              <w:snapToGrid/>
              <w:spacing w:after="0" w:line="240" w:lineRule="exact"/>
              <w:jc w:val="center"/>
              <w:rPr>
                <w:rFonts w:hint="eastAsia" w:ascii="方正仿宋_GB2312" w:hAnsi="方正仿宋_GB2312" w:eastAsia="方正仿宋_GB2312" w:cs="方正仿宋_GB2312"/>
                <w:bCs/>
                <w:color w:val="000000"/>
                <w:spacing w:val="8"/>
                <w:sz w:val="22"/>
                <w:szCs w:val="22"/>
                <w:vertAlign w:val="baseline"/>
                <w:lang w:val="en-US" w:eastAsia="zh-CN"/>
              </w:rPr>
            </w:pPr>
          </w:p>
        </w:tc>
        <w:tc>
          <w:tcPr>
            <w:tcW w:w="1935" w:type="dxa"/>
            <w:vMerge w:val="continue"/>
            <w:vAlign w:val="center"/>
          </w:tcPr>
          <w:p w14:paraId="637478A0">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p>
        </w:tc>
        <w:tc>
          <w:tcPr>
            <w:tcW w:w="1995" w:type="dxa"/>
            <w:vAlign w:val="center"/>
          </w:tcPr>
          <w:p w14:paraId="3DE8FA6C">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方正仿宋_GB2312" w:hAnsi="方正仿宋_GB2312" w:eastAsia="方正仿宋_GB2312" w:cs="方正仿宋_GB2312"/>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配合迎检</w:t>
            </w:r>
          </w:p>
        </w:tc>
        <w:tc>
          <w:tcPr>
            <w:tcW w:w="9075" w:type="dxa"/>
            <w:vAlign w:val="center"/>
          </w:tcPr>
          <w:p w14:paraId="18FAA984">
            <w:pPr>
              <w:keepNext w:val="0"/>
              <w:keepLines w:val="0"/>
              <w:pageBreakBefore w:val="0"/>
              <w:widowControl w:val="0"/>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i w:val="0"/>
                <w:iCs w:val="0"/>
                <w:color w:val="000000"/>
                <w:kern w:val="0"/>
                <w:sz w:val="22"/>
                <w:szCs w:val="22"/>
                <w:u w:val="none"/>
                <w:lang w:val="en-US" w:eastAsia="zh-CN" w:bidi="ar"/>
              </w:rPr>
              <w:t>针对采购人各项相关检查可能涉及的功能进行前期测试，并对采购人相关工作人员开展针对性培训。</w:t>
            </w:r>
          </w:p>
        </w:tc>
      </w:tr>
      <w:tr w14:paraId="78B7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7" w:type="dxa"/>
            <w:vMerge w:val="restart"/>
            <w:vAlign w:val="center"/>
          </w:tcPr>
          <w:p w14:paraId="14E0349C">
            <w:pPr>
              <w:keepNext w:val="0"/>
              <w:keepLines w:val="0"/>
              <w:pageBreakBefore w:val="0"/>
              <w:widowControl w:val="0"/>
              <w:kinsoku/>
              <w:wordWrap/>
              <w:overflowPunct/>
              <w:topLinePunct w:val="0"/>
              <w:autoSpaceDE/>
              <w:autoSpaceDN/>
              <w:bidi w:val="0"/>
              <w:adjustRightInd/>
              <w:snapToGrid/>
              <w:spacing w:after="0" w:line="240" w:lineRule="exact"/>
              <w:jc w:val="center"/>
              <w:rPr>
                <w:rFonts w:hint="default" w:ascii="方正仿宋_GB2312" w:hAnsi="方正仿宋_GB2312" w:eastAsia="方正仿宋_GB2312" w:cs="方正仿宋_GB2312"/>
                <w:bCs/>
                <w:color w:val="000000"/>
                <w:spacing w:val="8"/>
                <w:sz w:val="22"/>
                <w:szCs w:val="22"/>
                <w:vertAlign w:val="baseline"/>
                <w:lang w:val="en-US" w:eastAsia="zh-CN"/>
              </w:rPr>
            </w:pPr>
            <w:r>
              <w:rPr>
                <w:rFonts w:hint="eastAsia" w:ascii="方正仿宋_GB2312" w:hAnsi="方正仿宋_GB2312" w:eastAsia="方正仿宋_GB2312" w:cs="方正仿宋_GB2312"/>
                <w:bCs/>
                <w:color w:val="000000"/>
                <w:spacing w:val="8"/>
                <w:sz w:val="22"/>
                <w:szCs w:val="22"/>
                <w:vertAlign w:val="baseline"/>
                <w:lang w:val="en-US" w:eastAsia="zh-CN"/>
              </w:rPr>
              <w:t>5</w:t>
            </w:r>
          </w:p>
        </w:tc>
        <w:tc>
          <w:tcPr>
            <w:tcW w:w="1935" w:type="dxa"/>
            <w:vMerge w:val="restart"/>
            <w:vAlign w:val="center"/>
          </w:tcPr>
          <w:p w14:paraId="79E0B251">
            <w:pPr>
              <w:keepNext w:val="0"/>
              <w:keepLines w:val="0"/>
              <w:pageBreakBefore w:val="0"/>
              <w:widowControl w:val="0"/>
              <w:tabs>
                <w:tab w:val="left" w:pos="265"/>
              </w:tabs>
              <w:kinsoku/>
              <w:wordWrap/>
              <w:overflowPunct/>
              <w:topLinePunct w:val="0"/>
              <w:autoSpaceDE/>
              <w:autoSpaceDN/>
              <w:bidi w:val="0"/>
              <w:adjustRightInd/>
              <w:snapToGrid/>
              <w:spacing w:after="0" w:line="240" w:lineRule="exact"/>
              <w:jc w:val="center"/>
              <w:rPr>
                <w:rFonts w:hint="eastAsia" w:ascii="方正仿宋_GB2312" w:hAnsi="方正仿宋_GB2312" w:eastAsia="方正仿宋_GB2312" w:cs="方正仿宋_GB2312"/>
                <w:bCs/>
                <w:color w:val="000000"/>
                <w:spacing w:val="8"/>
                <w:sz w:val="22"/>
                <w:szCs w:val="22"/>
                <w:vertAlign w:val="baseline"/>
                <w:lang w:val="en-US" w:eastAsia="zh-CN"/>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分析报告服务</w:t>
            </w:r>
          </w:p>
        </w:tc>
        <w:tc>
          <w:tcPr>
            <w:tcW w:w="1995" w:type="dxa"/>
            <w:vAlign w:val="center"/>
          </w:tcPr>
          <w:p w14:paraId="0D94198F">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方正仿宋_GB2312" w:hAnsi="方正仿宋_GB2312" w:eastAsia="方正仿宋_GB2312" w:cs="方正仿宋_GB2312"/>
                <w:bCs/>
                <w:color w:val="auto"/>
                <w:spacing w:val="8"/>
                <w:sz w:val="22"/>
                <w:szCs w:val="22"/>
                <w:vertAlign w:val="baseline"/>
                <w:lang w:val="en-US" w:eastAsia="zh-CN"/>
              </w:rPr>
            </w:pPr>
            <w:r>
              <w:rPr>
                <w:rFonts w:hint="eastAsia" w:ascii="方正仿宋_GB2312" w:hAnsi="方正仿宋_GB2312" w:eastAsia="方正仿宋_GB2312" w:cs="方正仿宋_GB2312"/>
                <w:i w:val="0"/>
                <w:iCs w:val="0"/>
                <w:color w:val="auto"/>
                <w:kern w:val="0"/>
                <w:sz w:val="22"/>
                <w:szCs w:val="22"/>
                <w:u w:val="none"/>
                <w:lang w:val="en-US" w:eastAsia="zh-CN" w:bidi="ar"/>
              </w:rPr>
              <w:t>探头分布数据</w:t>
            </w:r>
          </w:p>
        </w:tc>
        <w:tc>
          <w:tcPr>
            <w:tcW w:w="9075" w:type="dxa"/>
            <w:vAlign w:val="center"/>
          </w:tcPr>
          <w:p w14:paraId="12EFF552">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Cs/>
                <w:color w:val="auto"/>
                <w:spacing w:val="8"/>
                <w:sz w:val="22"/>
                <w:szCs w:val="22"/>
                <w:vertAlign w:val="baseline"/>
                <w:lang w:val="en-US" w:eastAsia="zh-CN"/>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1.每月统计采购人各部门已安装的检测</w:t>
            </w:r>
            <w:r>
              <w:rPr>
                <w:rFonts w:hint="eastAsia" w:ascii="方正仿宋_GB2312" w:hAnsi="方正仿宋_GB2312" w:eastAsia="方正仿宋_GB2312" w:cs="方正仿宋_GB2312"/>
                <w:b w:val="0"/>
                <w:bCs w:val="0"/>
                <w:i w:val="0"/>
                <w:iCs w:val="0"/>
                <w:color w:val="000000"/>
                <w:kern w:val="0"/>
                <w:sz w:val="22"/>
                <w:szCs w:val="22"/>
                <w:highlight w:val="none"/>
                <w:u w:val="none"/>
                <w:lang w:val="en-US" w:eastAsia="zh-CN" w:bidi="ar"/>
              </w:rPr>
              <w:t>探头的</w:t>
            </w: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数量、地点、运行状况并分析运行风险隐患，提出其运行建议并形成汇总表提交至采购人；</w:t>
            </w:r>
          </w:p>
          <w:p w14:paraId="2CF40D72">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Cs/>
                <w:color w:val="auto"/>
                <w:spacing w:val="8"/>
                <w:sz w:val="22"/>
                <w:szCs w:val="22"/>
                <w:vertAlign w:val="baseline"/>
                <w:lang w:val="en-US" w:eastAsia="zh-CN"/>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2.如探头的数量、地点出现变更，第一时间更新汇总表并通知采购人。</w:t>
            </w:r>
          </w:p>
        </w:tc>
      </w:tr>
      <w:tr w14:paraId="7D5B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7" w:type="dxa"/>
            <w:vMerge w:val="continue"/>
            <w:vAlign w:val="center"/>
          </w:tcPr>
          <w:p w14:paraId="62226A6F">
            <w:pPr>
              <w:keepNext w:val="0"/>
              <w:keepLines w:val="0"/>
              <w:pageBreakBefore w:val="0"/>
              <w:widowControl w:val="0"/>
              <w:kinsoku/>
              <w:wordWrap/>
              <w:overflowPunct/>
              <w:topLinePunct w:val="0"/>
              <w:autoSpaceDE/>
              <w:autoSpaceDN/>
              <w:bidi w:val="0"/>
              <w:adjustRightInd/>
              <w:snapToGrid/>
              <w:spacing w:after="0" w:line="240" w:lineRule="exact"/>
              <w:jc w:val="left"/>
              <w:rPr>
                <w:rFonts w:hint="eastAsia" w:ascii="方正仿宋_GB2312" w:hAnsi="方正仿宋_GB2312" w:eastAsia="方正仿宋_GB2312" w:cs="方正仿宋_GB2312"/>
                <w:bCs/>
                <w:color w:val="000000"/>
                <w:spacing w:val="8"/>
                <w:sz w:val="22"/>
                <w:szCs w:val="22"/>
                <w:vertAlign w:val="baseline"/>
                <w:lang w:val="en-US" w:eastAsia="zh-CN"/>
              </w:rPr>
            </w:pPr>
          </w:p>
        </w:tc>
        <w:tc>
          <w:tcPr>
            <w:tcW w:w="1935" w:type="dxa"/>
            <w:vMerge w:val="continue"/>
            <w:vAlign w:val="center"/>
          </w:tcPr>
          <w:p w14:paraId="1034D2BB">
            <w:pPr>
              <w:keepNext w:val="0"/>
              <w:keepLines w:val="0"/>
              <w:pageBreakBefore w:val="0"/>
              <w:widowControl w:val="0"/>
              <w:kinsoku/>
              <w:wordWrap/>
              <w:overflowPunct/>
              <w:topLinePunct w:val="0"/>
              <w:autoSpaceDE/>
              <w:autoSpaceDN/>
              <w:bidi w:val="0"/>
              <w:adjustRightInd/>
              <w:snapToGrid/>
              <w:spacing w:after="0" w:line="240" w:lineRule="exact"/>
              <w:jc w:val="left"/>
              <w:rPr>
                <w:rFonts w:hint="eastAsia" w:ascii="方正仿宋_GB2312" w:hAnsi="方正仿宋_GB2312" w:eastAsia="方正仿宋_GB2312" w:cs="方正仿宋_GB2312"/>
                <w:bCs/>
                <w:color w:val="000000"/>
                <w:spacing w:val="8"/>
                <w:sz w:val="22"/>
                <w:szCs w:val="22"/>
                <w:vertAlign w:val="baseline"/>
                <w:lang w:val="en-US" w:eastAsia="zh-CN"/>
              </w:rPr>
            </w:pPr>
          </w:p>
        </w:tc>
        <w:tc>
          <w:tcPr>
            <w:tcW w:w="1995" w:type="dxa"/>
            <w:vAlign w:val="center"/>
          </w:tcPr>
          <w:p w14:paraId="51BD9BA9">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方正仿宋_GB2312" w:hAnsi="方正仿宋_GB2312" w:eastAsia="方正仿宋_GB2312" w:cs="方正仿宋_GB2312"/>
                <w:bCs/>
                <w:color w:val="000000"/>
                <w:spacing w:val="8"/>
                <w:sz w:val="22"/>
                <w:szCs w:val="22"/>
                <w:vertAlign w:val="baseline"/>
                <w:lang w:val="en-US" w:eastAsia="zh-CN"/>
              </w:rPr>
            </w:pPr>
            <w:r>
              <w:rPr>
                <w:rFonts w:hint="eastAsia" w:ascii="方正仿宋_GB2312" w:hAnsi="方正仿宋_GB2312" w:eastAsia="方正仿宋_GB2312" w:cs="方正仿宋_GB2312"/>
                <w:i w:val="0"/>
                <w:iCs w:val="0"/>
                <w:color w:val="000000"/>
                <w:kern w:val="0"/>
                <w:sz w:val="22"/>
                <w:szCs w:val="22"/>
                <w:u w:val="none"/>
                <w:lang w:val="en-US" w:eastAsia="zh-CN" w:bidi="ar"/>
              </w:rPr>
              <w:t>历史数据分析</w:t>
            </w:r>
          </w:p>
        </w:tc>
        <w:tc>
          <w:tcPr>
            <w:tcW w:w="9075" w:type="dxa"/>
            <w:vAlign w:val="center"/>
          </w:tcPr>
          <w:p w14:paraId="5F60481F">
            <w:pPr>
              <w:keepNext w:val="0"/>
              <w:keepLines w:val="0"/>
              <w:pageBreakBefore w:val="0"/>
              <w:widowControl w:val="0"/>
              <w:numPr>
                <w:ilvl w:val="0"/>
                <w:numId w:val="0"/>
              </w:numPr>
              <w:suppressLineNumbers w:val="0"/>
              <w:kinsoku/>
              <w:wordWrap/>
              <w:overflowPunct/>
              <w:topLinePunct w:val="0"/>
              <w:autoSpaceDE/>
              <w:autoSpaceDN/>
              <w:bidi w:val="0"/>
              <w:spacing w:line="240" w:lineRule="exact"/>
              <w:jc w:val="left"/>
              <w:textAlignment w:val="cente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pPr>
            <w:r>
              <w:rPr>
                <w:rFonts w:hint="eastAsia" w:ascii="方正仿宋_GB2312" w:hAnsi="方正仿宋_GB2312" w:eastAsia="方正仿宋_GB2312" w:cs="方正仿宋_GB2312"/>
                <w:b w:val="0"/>
                <w:bCs w:val="0"/>
                <w:i w:val="0"/>
                <w:iCs w:val="0"/>
                <w:color w:val="000000"/>
                <w:kern w:val="0"/>
                <w:sz w:val="22"/>
                <w:szCs w:val="22"/>
                <w:u w:val="none"/>
                <w:lang w:val="en-US" w:eastAsia="zh-CN" w:bidi="ar"/>
              </w:rPr>
              <w:t>针对已记录的历史数据进行分析，并出具分析报告，报告应包含对设备整体的运行情况、曲线图标、运行建议、风险隐患等重点的分析。</w:t>
            </w:r>
          </w:p>
        </w:tc>
      </w:tr>
    </w:tbl>
    <w:p w14:paraId="35B39CA8">
      <w:pPr>
        <w:pStyle w:val="9"/>
        <w:ind w:firstLine="600" w:firstLineChars="200"/>
        <w:rPr>
          <w:rFonts w:hint="eastAsia" w:ascii="仿宋" w:hAnsi="仿宋" w:eastAsia="仿宋" w:cs="Segoe UI"/>
          <w:color w:val="212529"/>
          <w:kern w:val="0"/>
          <w:sz w:val="30"/>
          <w:szCs w:val="30"/>
          <w:lang w:val="en-US" w:eastAsia="zh-Hans" w:bidi="ar-SA"/>
        </w:rPr>
      </w:pPr>
    </w:p>
    <w:p w14:paraId="1D08F4C3">
      <w:pPr>
        <w:widowControl w:val="0"/>
        <w:numPr>
          <w:ilvl w:val="0"/>
          <w:numId w:val="0"/>
        </w:numPr>
        <w:adjustRightInd/>
        <w:snapToGrid/>
        <w:spacing w:after="0" w:line="360" w:lineRule="auto"/>
        <w:ind w:firstLine="672" w:firstLineChars="200"/>
        <w:jc w:val="both"/>
        <w:rPr>
          <w:rFonts w:hint="eastAsia" w:ascii="方正黑体_GBK" w:hAnsi="方正黑体_GBK" w:eastAsia="方正黑体_GBK" w:cs="方正黑体_GBK"/>
          <w:bCs/>
          <w:color w:val="000000"/>
          <w:spacing w:val="8"/>
          <w:sz w:val="32"/>
          <w:szCs w:val="32"/>
          <w:lang w:val="en-US" w:eastAsia="zh-CN"/>
        </w:rPr>
      </w:pPr>
      <w:r>
        <w:rPr>
          <w:rFonts w:hint="eastAsia" w:ascii="方正黑体_GBK" w:hAnsi="方正黑体_GBK" w:eastAsia="方正黑体_GBK" w:cs="方正黑体_GBK"/>
          <w:bCs/>
          <w:color w:val="000000"/>
          <w:spacing w:val="8"/>
          <w:sz w:val="32"/>
          <w:szCs w:val="32"/>
          <w:lang w:val="en-US" w:eastAsia="zh-CN"/>
        </w:rPr>
        <w:t>四、服务要求</w:t>
      </w:r>
    </w:p>
    <w:p w14:paraId="773EFFBA">
      <w:pPr>
        <w:widowControl w:val="0"/>
        <w:numPr>
          <w:ilvl w:val="0"/>
          <w:numId w:val="0"/>
        </w:numPr>
        <w:adjustRightInd/>
        <w:snapToGrid/>
        <w:spacing w:after="0" w:line="360" w:lineRule="auto"/>
        <w:ind w:firstLine="672" w:firstLineChars="200"/>
        <w:jc w:val="both"/>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1.供应商在合同期内</w:t>
      </w:r>
      <w:r>
        <w:rPr>
          <w:rFonts w:hint="default" w:ascii="方正仿宋_GB2312" w:hAnsi="方正仿宋_GB2312" w:eastAsia="方正仿宋_GB2312" w:cs="方正仿宋_GB2312"/>
          <w:color w:val="000000"/>
          <w:spacing w:val="8"/>
          <w:sz w:val="32"/>
          <w:szCs w:val="32"/>
          <w:lang w:val="en-US" w:eastAsia="zh-CN"/>
        </w:rPr>
        <w:t>对所有设备提供</w:t>
      </w:r>
      <w:r>
        <w:rPr>
          <w:rFonts w:hint="eastAsia" w:ascii="方正仿宋_GB2312" w:hAnsi="方正仿宋_GB2312" w:eastAsia="方正仿宋_GB2312" w:cs="方正仿宋_GB2312"/>
          <w:color w:val="000000"/>
          <w:spacing w:val="8"/>
          <w:sz w:val="32"/>
          <w:szCs w:val="32"/>
          <w:lang w:val="en-US" w:eastAsia="zh-CN"/>
        </w:rPr>
        <w:t>维护</w:t>
      </w:r>
      <w:r>
        <w:rPr>
          <w:rFonts w:hint="default" w:ascii="方正仿宋_GB2312" w:hAnsi="方正仿宋_GB2312" w:eastAsia="方正仿宋_GB2312" w:cs="方正仿宋_GB2312"/>
          <w:color w:val="000000"/>
          <w:spacing w:val="8"/>
          <w:sz w:val="32"/>
          <w:szCs w:val="32"/>
          <w:lang w:val="en-US" w:eastAsia="zh-CN"/>
        </w:rPr>
        <w:t>服务，若为远程发现</w:t>
      </w:r>
      <w:r>
        <w:rPr>
          <w:rFonts w:hint="eastAsia" w:ascii="方正仿宋_GB2312" w:hAnsi="方正仿宋_GB2312" w:eastAsia="方正仿宋_GB2312" w:cs="方正仿宋_GB2312"/>
          <w:color w:val="000000"/>
          <w:spacing w:val="8"/>
          <w:sz w:val="32"/>
          <w:szCs w:val="32"/>
          <w:lang w:val="en-US" w:eastAsia="zh-CN"/>
        </w:rPr>
        <w:t>的</w:t>
      </w:r>
      <w:r>
        <w:rPr>
          <w:rFonts w:hint="default" w:ascii="方正仿宋_GB2312" w:hAnsi="方正仿宋_GB2312" w:eastAsia="方正仿宋_GB2312" w:cs="方正仿宋_GB2312"/>
          <w:color w:val="000000"/>
          <w:spacing w:val="8"/>
          <w:sz w:val="32"/>
          <w:szCs w:val="32"/>
          <w:lang w:val="en-US" w:eastAsia="zh-CN"/>
        </w:rPr>
        <w:t>设备故障，由</w:t>
      </w:r>
      <w:r>
        <w:rPr>
          <w:rFonts w:hint="eastAsia" w:ascii="方正仿宋_GB2312" w:hAnsi="方正仿宋_GB2312" w:eastAsia="方正仿宋_GB2312" w:cs="方正仿宋_GB2312"/>
          <w:color w:val="000000"/>
          <w:spacing w:val="8"/>
          <w:sz w:val="32"/>
          <w:szCs w:val="32"/>
          <w:lang w:val="en-US" w:eastAsia="zh-CN"/>
        </w:rPr>
        <w:t>采购人</w:t>
      </w:r>
      <w:r>
        <w:rPr>
          <w:rFonts w:hint="default" w:ascii="方正仿宋_GB2312" w:hAnsi="方正仿宋_GB2312" w:eastAsia="方正仿宋_GB2312" w:cs="方正仿宋_GB2312"/>
          <w:color w:val="000000"/>
          <w:spacing w:val="8"/>
          <w:sz w:val="32"/>
          <w:szCs w:val="32"/>
          <w:lang w:val="en-US" w:eastAsia="zh-CN"/>
        </w:rPr>
        <w:t>将故障设备寄</w:t>
      </w:r>
      <w:r>
        <w:rPr>
          <w:rFonts w:hint="eastAsia" w:ascii="方正仿宋_GB2312" w:hAnsi="方正仿宋_GB2312" w:eastAsia="方正仿宋_GB2312" w:cs="方正仿宋_GB2312"/>
          <w:color w:val="000000"/>
          <w:spacing w:val="8"/>
          <w:sz w:val="32"/>
          <w:szCs w:val="32"/>
          <w:lang w:val="en-US" w:eastAsia="zh-CN"/>
        </w:rPr>
        <w:t>送至供应商提供的</w:t>
      </w:r>
      <w:r>
        <w:rPr>
          <w:rFonts w:hint="default" w:ascii="方正仿宋_GB2312" w:hAnsi="方正仿宋_GB2312" w:eastAsia="方正仿宋_GB2312" w:cs="方正仿宋_GB2312"/>
          <w:color w:val="000000"/>
          <w:spacing w:val="8"/>
          <w:sz w:val="32"/>
          <w:szCs w:val="32"/>
          <w:lang w:val="en-US" w:eastAsia="zh-CN"/>
        </w:rPr>
        <w:t>售后服务中心进行</w:t>
      </w:r>
      <w:r>
        <w:rPr>
          <w:rFonts w:hint="eastAsia" w:ascii="方正仿宋_GB2312" w:hAnsi="方正仿宋_GB2312" w:eastAsia="方正仿宋_GB2312" w:cs="方正仿宋_GB2312"/>
          <w:color w:val="000000"/>
          <w:spacing w:val="8"/>
          <w:sz w:val="32"/>
          <w:szCs w:val="32"/>
          <w:lang w:val="en-US" w:eastAsia="zh-CN"/>
        </w:rPr>
        <w:t>处理（邮寄费用由供应商承担）</w:t>
      </w:r>
      <w:r>
        <w:rPr>
          <w:rFonts w:hint="default" w:ascii="方正仿宋_GB2312" w:hAnsi="方正仿宋_GB2312" w:eastAsia="方正仿宋_GB2312" w:cs="方正仿宋_GB2312"/>
          <w:color w:val="000000"/>
          <w:spacing w:val="8"/>
          <w:sz w:val="32"/>
          <w:szCs w:val="32"/>
          <w:lang w:val="en-US" w:eastAsia="zh-CN"/>
        </w:rPr>
        <w:t>；若为现场发现的设备故障，则由</w:t>
      </w:r>
      <w:r>
        <w:rPr>
          <w:rFonts w:hint="eastAsia" w:ascii="方正仿宋_GB2312" w:hAnsi="方正仿宋_GB2312" w:eastAsia="方正仿宋_GB2312" w:cs="方正仿宋_GB2312"/>
          <w:color w:val="000000"/>
          <w:spacing w:val="8"/>
          <w:sz w:val="32"/>
          <w:szCs w:val="32"/>
          <w:lang w:val="en-US" w:eastAsia="zh-CN"/>
        </w:rPr>
        <w:t>供应商</w:t>
      </w:r>
      <w:r>
        <w:rPr>
          <w:rFonts w:hint="default" w:ascii="方正仿宋_GB2312" w:hAnsi="方正仿宋_GB2312" w:eastAsia="方正仿宋_GB2312" w:cs="方正仿宋_GB2312"/>
          <w:color w:val="000000"/>
          <w:spacing w:val="8"/>
          <w:sz w:val="32"/>
          <w:szCs w:val="32"/>
          <w:lang w:val="en-US" w:eastAsia="zh-CN"/>
        </w:rPr>
        <w:t>带回故障设备</w:t>
      </w:r>
      <w:r>
        <w:rPr>
          <w:rFonts w:hint="eastAsia" w:ascii="方正仿宋_GB2312" w:hAnsi="方正仿宋_GB2312" w:eastAsia="方正仿宋_GB2312" w:cs="方正仿宋_GB2312"/>
          <w:color w:val="000000"/>
          <w:spacing w:val="8"/>
          <w:sz w:val="32"/>
          <w:szCs w:val="32"/>
          <w:lang w:val="en-US" w:eastAsia="zh-CN"/>
        </w:rPr>
        <w:t>并</w:t>
      </w:r>
      <w:r>
        <w:rPr>
          <w:rFonts w:hint="default" w:ascii="方正仿宋_GB2312" w:hAnsi="方正仿宋_GB2312" w:eastAsia="方正仿宋_GB2312" w:cs="方正仿宋_GB2312"/>
          <w:color w:val="000000"/>
          <w:spacing w:val="8"/>
          <w:sz w:val="32"/>
          <w:szCs w:val="32"/>
          <w:lang w:val="en-US" w:eastAsia="zh-CN"/>
        </w:rPr>
        <w:t>进行</w:t>
      </w:r>
      <w:r>
        <w:rPr>
          <w:rFonts w:hint="eastAsia" w:ascii="方正仿宋_GB2312" w:hAnsi="方正仿宋_GB2312" w:eastAsia="方正仿宋_GB2312" w:cs="方正仿宋_GB2312"/>
          <w:color w:val="000000"/>
          <w:spacing w:val="8"/>
          <w:sz w:val="32"/>
          <w:szCs w:val="32"/>
          <w:lang w:val="en-US" w:eastAsia="zh-CN"/>
        </w:rPr>
        <w:t>处理。对</w:t>
      </w:r>
      <w:r>
        <w:rPr>
          <w:rFonts w:hint="default" w:ascii="方正仿宋_GB2312" w:hAnsi="方正仿宋_GB2312" w:eastAsia="方正仿宋_GB2312" w:cs="方正仿宋_GB2312"/>
          <w:color w:val="000000"/>
          <w:spacing w:val="8"/>
          <w:sz w:val="32"/>
          <w:szCs w:val="32"/>
          <w:lang w:val="en-US" w:eastAsia="zh-CN"/>
        </w:rPr>
        <w:t>故障设备的</w:t>
      </w:r>
      <w:r>
        <w:rPr>
          <w:rFonts w:hint="eastAsia" w:ascii="方正仿宋_GB2312" w:hAnsi="方正仿宋_GB2312" w:eastAsia="方正仿宋_GB2312" w:cs="方正仿宋_GB2312"/>
          <w:color w:val="000000"/>
          <w:spacing w:val="8"/>
          <w:sz w:val="32"/>
          <w:szCs w:val="32"/>
          <w:lang w:val="en-US" w:eastAsia="zh-CN"/>
        </w:rPr>
        <w:t>处理完成后，须</w:t>
      </w:r>
      <w:r>
        <w:rPr>
          <w:rFonts w:hint="default" w:ascii="方正仿宋_GB2312" w:hAnsi="方正仿宋_GB2312" w:eastAsia="方正仿宋_GB2312" w:cs="方正仿宋_GB2312"/>
          <w:color w:val="000000"/>
          <w:spacing w:val="8"/>
          <w:sz w:val="32"/>
          <w:szCs w:val="32"/>
          <w:lang w:val="en-US" w:eastAsia="zh-CN"/>
        </w:rPr>
        <w:t>出具</w:t>
      </w:r>
      <w:r>
        <w:rPr>
          <w:rFonts w:hint="eastAsia" w:ascii="方正仿宋_GB2312" w:hAnsi="方正仿宋_GB2312" w:eastAsia="方正仿宋_GB2312" w:cs="方正仿宋_GB2312"/>
          <w:color w:val="000000"/>
          <w:spacing w:val="8"/>
          <w:sz w:val="32"/>
          <w:szCs w:val="32"/>
          <w:lang w:val="en-US" w:eastAsia="zh-CN"/>
        </w:rPr>
        <w:t>设备可正常运行的相应</w:t>
      </w:r>
      <w:r>
        <w:rPr>
          <w:rFonts w:hint="default" w:ascii="方正仿宋_GB2312" w:hAnsi="方正仿宋_GB2312" w:eastAsia="方正仿宋_GB2312" w:cs="方正仿宋_GB2312"/>
          <w:color w:val="000000"/>
          <w:spacing w:val="8"/>
          <w:sz w:val="32"/>
          <w:szCs w:val="32"/>
          <w:lang w:val="en-US" w:eastAsia="zh-CN"/>
        </w:rPr>
        <w:t>证明</w:t>
      </w:r>
      <w:r>
        <w:rPr>
          <w:rFonts w:hint="eastAsia" w:ascii="方正仿宋_GB2312" w:hAnsi="方正仿宋_GB2312" w:eastAsia="方正仿宋_GB2312" w:cs="方正仿宋_GB2312"/>
          <w:color w:val="000000"/>
          <w:spacing w:val="8"/>
          <w:sz w:val="32"/>
          <w:szCs w:val="32"/>
          <w:lang w:val="en-US" w:eastAsia="zh-CN"/>
        </w:rPr>
        <w:t>。</w:t>
      </w:r>
    </w:p>
    <w:p w14:paraId="796C9559">
      <w:pPr>
        <w:widowControl w:val="0"/>
        <w:numPr>
          <w:ilvl w:val="0"/>
          <w:numId w:val="0"/>
        </w:numPr>
        <w:adjustRightInd/>
        <w:snapToGrid/>
        <w:spacing w:after="0" w:line="360" w:lineRule="auto"/>
        <w:ind w:firstLine="672" w:firstLineChars="200"/>
        <w:jc w:val="both"/>
        <w:rPr>
          <w:rFonts w:hint="eastAsia" w:ascii="方正仿宋_GB2312" w:hAnsi="方正仿宋_GB2312" w:eastAsia="方正仿宋_GB2312" w:cs="方正仿宋_GB2312"/>
          <w:color w:val="000000"/>
          <w:spacing w:val="8"/>
          <w:sz w:val="32"/>
          <w:szCs w:val="32"/>
        </w:rPr>
      </w:pPr>
      <w:r>
        <w:rPr>
          <w:rFonts w:hint="eastAsia" w:ascii="方正仿宋_GB2312" w:hAnsi="方正仿宋_GB2312" w:eastAsia="方正仿宋_GB2312" w:cs="方正仿宋_GB2312"/>
          <w:color w:val="000000"/>
          <w:spacing w:val="8"/>
          <w:sz w:val="32"/>
          <w:szCs w:val="32"/>
          <w:lang w:val="en-US" w:eastAsia="zh-CN"/>
        </w:rPr>
        <w:t>2.</w:t>
      </w:r>
      <w:r>
        <w:rPr>
          <w:rFonts w:hint="eastAsia" w:ascii="方正仿宋_GB2312" w:hAnsi="方正仿宋_GB2312" w:eastAsia="方正仿宋_GB2312" w:cs="方正仿宋_GB2312"/>
          <w:color w:val="000000"/>
          <w:spacing w:val="8"/>
          <w:sz w:val="32"/>
          <w:szCs w:val="32"/>
        </w:rPr>
        <w:t>供应商须具备</w:t>
      </w:r>
      <w:r>
        <w:rPr>
          <w:rFonts w:hint="eastAsia" w:ascii="方正仿宋_GB2312" w:hAnsi="方正仿宋_GB2312" w:eastAsia="方正仿宋_GB2312" w:cs="方正仿宋_GB2312"/>
          <w:color w:val="000000"/>
          <w:spacing w:val="8"/>
          <w:sz w:val="32"/>
          <w:szCs w:val="32"/>
          <w:lang w:val="en-US" w:eastAsia="zh-CN"/>
        </w:rPr>
        <w:t>系统的</w:t>
      </w:r>
      <w:r>
        <w:rPr>
          <w:rFonts w:hint="eastAsia" w:ascii="方正仿宋_GB2312" w:hAnsi="方正仿宋_GB2312" w:eastAsia="方正仿宋_GB2312" w:cs="方正仿宋_GB2312"/>
          <w:color w:val="000000"/>
          <w:spacing w:val="8"/>
          <w:sz w:val="32"/>
          <w:szCs w:val="32"/>
        </w:rPr>
        <w:t>二次开发能力，开发采购人指定</w:t>
      </w:r>
      <w:r>
        <w:rPr>
          <w:rFonts w:hint="eastAsia" w:ascii="方正仿宋_GB2312" w:hAnsi="方正仿宋_GB2312" w:eastAsia="方正仿宋_GB2312" w:cs="方正仿宋_GB2312"/>
          <w:color w:val="000000"/>
          <w:spacing w:val="8"/>
          <w:sz w:val="32"/>
          <w:szCs w:val="32"/>
          <w:lang w:eastAsia="zh-CN"/>
        </w:rPr>
        <w:t>的</w:t>
      </w:r>
      <w:r>
        <w:rPr>
          <w:rFonts w:hint="eastAsia" w:ascii="方正仿宋_GB2312" w:hAnsi="方正仿宋_GB2312" w:eastAsia="方正仿宋_GB2312" w:cs="方正仿宋_GB2312"/>
          <w:color w:val="000000"/>
          <w:spacing w:val="8"/>
          <w:sz w:val="32"/>
          <w:szCs w:val="32"/>
        </w:rPr>
        <w:t>系统对接接口</w:t>
      </w:r>
      <w:r>
        <w:rPr>
          <w:rFonts w:hint="eastAsia" w:ascii="方正仿宋_GB2312" w:hAnsi="方正仿宋_GB2312" w:eastAsia="方正仿宋_GB2312" w:cs="方正仿宋_GB2312"/>
          <w:color w:val="000000"/>
          <w:spacing w:val="8"/>
          <w:sz w:val="32"/>
          <w:szCs w:val="32"/>
          <w:lang w:eastAsia="zh-CN"/>
        </w:rPr>
        <w:t>；</w:t>
      </w:r>
      <w:r>
        <w:rPr>
          <w:rFonts w:hint="eastAsia" w:ascii="方正仿宋_GB2312" w:hAnsi="方正仿宋_GB2312" w:eastAsia="方正仿宋_GB2312" w:cs="方正仿宋_GB2312"/>
          <w:color w:val="000000"/>
          <w:spacing w:val="8"/>
          <w:sz w:val="32"/>
          <w:szCs w:val="32"/>
          <w:lang w:val="en-US" w:eastAsia="zh-CN"/>
        </w:rPr>
        <w:t>须</w:t>
      </w:r>
      <w:r>
        <w:rPr>
          <w:rFonts w:hint="eastAsia" w:ascii="方正仿宋_GB2312" w:hAnsi="方正仿宋_GB2312" w:eastAsia="方正仿宋_GB2312" w:cs="方正仿宋_GB2312"/>
          <w:color w:val="000000"/>
          <w:spacing w:val="8"/>
          <w:sz w:val="32"/>
          <w:szCs w:val="32"/>
        </w:rPr>
        <w:t>具备部署采购人本地服务器的能力，并且承诺无条件完成本地服务器部署，服务器由供应商提供</w:t>
      </w:r>
      <w:r>
        <w:rPr>
          <w:rFonts w:hint="eastAsia" w:ascii="方正仿宋_GB2312" w:hAnsi="方正仿宋_GB2312" w:eastAsia="方正仿宋_GB2312" w:cs="方正仿宋_GB2312"/>
          <w:color w:val="000000"/>
          <w:spacing w:val="8"/>
          <w:sz w:val="32"/>
          <w:szCs w:val="32"/>
          <w:lang w:eastAsia="zh-CN"/>
        </w:rPr>
        <w:t>，</w:t>
      </w:r>
      <w:r>
        <w:rPr>
          <w:rFonts w:hint="eastAsia" w:ascii="方正仿宋_GB2312" w:hAnsi="方正仿宋_GB2312" w:eastAsia="方正仿宋_GB2312" w:cs="方正仿宋_GB2312"/>
          <w:color w:val="000000"/>
          <w:spacing w:val="8"/>
          <w:sz w:val="32"/>
          <w:szCs w:val="32"/>
          <w:lang w:val="en-US" w:eastAsia="zh-CN"/>
        </w:rPr>
        <w:t>上述开发及部署费用均已含在本次报价内，无需另计费用</w:t>
      </w:r>
      <w:r>
        <w:rPr>
          <w:rFonts w:hint="eastAsia" w:ascii="方正仿宋_GB2312" w:hAnsi="方正仿宋_GB2312" w:eastAsia="方正仿宋_GB2312" w:cs="方正仿宋_GB2312"/>
          <w:color w:val="000000"/>
          <w:spacing w:val="8"/>
          <w:sz w:val="32"/>
          <w:szCs w:val="32"/>
        </w:rPr>
        <w:t>。</w:t>
      </w:r>
    </w:p>
    <w:p w14:paraId="61756033">
      <w:pPr>
        <w:widowControl w:val="0"/>
        <w:numPr>
          <w:ilvl w:val="0"/>
          <w:numId w:val="0"/>
        </w:numPr>
        <w:adjustRightInd/>
        <w:snapToGrid/>
        <w:spacing w:after="0" w:line="360" w:lineRule="auto"/>
        <w:ind w:firstLine="672" w:firstLineChars="200"/>
        <w:jc w:val="both"/>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3.供应商须保证所提供的服务满足采购人的工作需要，设备性能达到生产厂家标准及相应国家标准要求且正常运行，平台运行中存在问题得到及时解决，平台始终处于最新最优化的版本，数据的连续性、完整性和有效性不受影响，提供实时查看便捷性客户端功能。</w:t>
      </w:r>
    </w:p>
    <w:p w14:paraId="096104E0">
      <w:pPr>
        <w:widowControl w:val="0"/>
        <w:numPr>
          <w:ilvl w:val="0"/>
          <w:numId w:val="0"/>
        </w:numPr>
        <w:adjustRightInd/>
        <w:snapToGrid/>
        <w:spacing w:after="0" w:line="360" w:lineRule="auto"/>
        <w:ind w:firstLine="672" w:firstLineChars="200"/>
        <w:jc w:val="both"/>
        <w:rPr>
          <w:rFonts w:hint="eastAsia" w:ascii="方正仿宋_GB2312" w:hAnsi="方正仿宋_GB2312" w:eastAsia="方正仿宋_GB2312" w:cs="方正仿宋_GB2312"/>
          <w:color w:val="000000"/>
          <w:spacing w:val="8"/>
          <w:sz w:val="32"/>
          <w:szCs w:val="32"/>
        </w:rPr>
      </w:pPr>
      <w:r>
        <w:rPr>
          <w:rFonts w:hint="eastAsia" w:ascii="方正仿宋_GB2312" w:hAnsi="方正仿宋_GB2312" w:eastAsia="方正仿宋_GB2312" w:cs="方正仿宋_GB2312"/>
          <w:color w:val="000000"/>
          <w:spacing w:val="8"/>
          <w:sz w:val="32"/>
          <w:szCs w:val="32"/>
          <w:lang w:val="en-US" w:eastAsia="zh-CN"/>
        </w:rPr>
        <w:t>4.供应商对故障设备处理后，设备及其零配件</w:t>
      </w:r>
      <w:r>
        <w:rPr>
          <w:rFonts w:hint="eastAsia" w:ascii="方正仿宋_GB2312" w:hAnsi="方正仿宋_GB2312" w:eastAsia="方正仿宋_GB2312" w:cs="方正仿宋_GB2312"/>
          <w:color w:val="000000"/>
          <w:spacing w:val="8"/>
          <w:sz w:val="32"/>
          <w:szCs w:val="32"/>
          <w:lang w:eastAsia="zh-CN"/>
        </w:rPr>
        <w:t>的</w:t>
      </w:r>
      <w:r>
        <w:rPr>
          <w:rFonts w:hint="eastAsia" w:ascii="方正仿宋_GB2312" w:hAnsi="方正仿宋_GB2312" w:eastAsia="方正仿宋_GB2312" w:cs="方正仿宋_GB2312"/>
          <w:color w:val="000000"/>
          <w:spacing w:val="8"/>
          <w:sz w:val="32"/>
          <w:szCs w:val="32"/>
        </w:rPr>
        <w:t>品牌、规格型号、技术指标</w:t>
      </w:r>
      <w:r>
        <w:rPr>
          <w:rFonts w:hint="eastAsia" w:ascii="方正仿宋_GB2312" w:hAnsi="方正仿宋_GB2312" w:eastAsia="方正仿宋_GB2312" w:cs="方正仿宋_GB2312"/>
          <w:color w:val="000000"/>
          <w:spacing w:val="8"/>
          <w:sz w:val="32"/>
          <w:szCs w:val="32"/>
          <w:lang w:eastAsia="zh-CN"/>
        </w:rPr>
        <w:t>、</w:t>
      </w:r>
      <w:r>
        <w:rPr>
          <w:rFonts w:hint="eastAsia" w:ascii="方正仿宋_GB2312" w:hAnsi="方正仿宋_GB2312" w:eastAsia="方正仿宋_GB2312" w:cs="方正仿宋_GB2312"/>
          <w:color w:val="000000"/>
          <w:spacing w:val="8"/>
          <w:sz w:val="32"/>
          <w:szCs w:val="32"/>
        </w:rPr>
        <w:t>质量性能、匹配性</w:t>
      </w:r>
      <w:r>
        <w:rPr>
          <w:rFonts w:hint="eastAsia" w:ascii="方正仿宋_GB2312" w:hAnsi="方正仿宋_GB2312" w:eastAsia="方正仿宋_GB2312" w:cs="方正仿宋_GB2312"/>
          <w:color w:val="000000"/>
          <w:spacing w:val="8"/>
          <w:sz w:val="32"/>
          <w:szCs w:val="32"/>
          <w:lang w:val="en-US" w:eastAsia="zh-CN"/>
        </w:rPr>
        <w:t>等</w:t>
      </w:r>
      <w:r>
        <w:rPr>
          <w:rFonts w:hint="eastAsia" w:ascii="方正仿宋_GB2312" w:hAnsi="方正仿宋_GB2312" w:eastAsia="方正仿宋_GB2312" w:cs="方正仿宋_GB2312"/>
          <w:color w:val="000000"/>
          <w:spacing w:val="8"/>
          <w:sz w:val="32"/>
          <w:szCs w:val="32"/>
        </w:rPr>
        <w:t>均符合</w:t>
      </w:r>
      <w:r>
        <w:rPr>
          <w:rFonts w:hint="eastAsia" w:ascii="方正仿宋_GB2312" w:hAnsi="方正仿宋_GB2312" w:eastAsia="方正仿宋_GB2312" w:cs="方正仿宋_GB2312"/>
          <w:color w:val="000000"/>
          <w:spacing w:val="8"/>
          <w:sz w:val="32"/>
          <w:szCs w:val="32"/>
          <w:lang w:val="en-US" w:eastAsia="zh-CN"/>
        </w:rPr>
        <w:t>采购人工作需要及</w:t>
      </w:r>
      <w:r>
        <w:rPr>
          <w:rFonts w:hint="eastAsia" w:ascii="方正仿宋_GB2312" w:hAnsi="方正仿宋_GB2312" w:eastAsia="方正仿宋_GB2312" w:cs="方正仿宋_GB2312"/>
          <w:color w:val="000000"/>
          <w:spacing w:val="8"/>
          <w:sz w:val="32"/>
          <w:szCs w:val="32"/>
        </w:rPr>
        <w:t>设备</w:t>
      </w:r>
      <w:r>
        <w:rPr>
          <w:rFonts w:hint="eastAsia" w:ascii="方正仿宋_GB2312" w:hAnsi="方正仿宋_GB2312" w:eastAsia="方正仿宋_GB2312" w:cs="方正仿宋_GB2312"/>
          <w:color w:val="000000"/>
          <w:spacing w:val="8"/>
          <w:sz w:val="32"/>
          <w:szCs w:val="32"/>
          <w:lang w:eastAsia="zh-CN"/>
        </w:rPr>
        <w:t>的</w:t>
      </w:r>
      <w:r>
        <w:rPr>
          <w:rFonts w:hint="eastAsia" w:ascii="方正仿宋_GB2312" w:hAnsi="方正仿宋_GB2312" w:eastAsia="方正仿宋_GB2312" w:cs="方正仿宋_GB2312"/>
          <w:color w:val="000000"/>
          <w:spacing w:val="8"/>
          <w:sz w:val="32"/>
          <w:szCs w:val="32"/>
        </w:rPr>
        <w:t>配套要求</w:t>
      </w:r>
      <w:r>
        <w:rPr>
          <w:rFonts w:hint="eastAsia" w:ascii="方正仿宋_GB2312" w:hAnsi="方正仿宋_GB2312" w:eastAsia="方正仿宋_GB2312" w:cs="方正仿宋_GB2312"/>
          <w:color w:val="000000"/>
          <w:spacing w:val="8"/>
          <w:sz w:val="32"/>
          <w:szCs w:val="32"/>
          <w:lang w:eastAsia="zh-CN"/>
        </w:rPr>
        <w:t>，</w:t>
      </w:r>
      <w:r>
        <w:rPr>
          <w:rFonts w:hint="eastAsia" w:ascii="方正仿宋_GB2312" w:hAnsi="方正仿宋_GB2312" w:eastAsia="方正仿宋_GB2312" w:cs="方正仿宋_GB2312"/>
          <w:color w:val="000000"/>
          <w:spacing w:val="8"/>
          <w:sz w:val="32"/>
          <w:szCs w:val="32"/>
          <w:lang w:val="en-US" w:eastAsia="zh-CN"/>
        </w:rPr>
        <w:t>质保期至少为12</w:t>
      </w:r>
      <w:r>
        <w:rPr>
          <w:rFonts w:hint="eastAsia" w:ascii="方正仿宋_GB2312" w:hAnsi="方正仿宋_GB2312" w:eastAsia="方正仿宋_GB2312" w:cs="方正仿宋_GB2312"/>
          <w:color w:val="000000"/>
          <w:spacing w:val="8"/>
          <w:sz w:val="32"/>
          <w:szCs w:val="32"/>
        </w:rPr>
        <w:t>个月</w:t>
      </w:r>
      <w:r>
        <w:rPr>
          <w:rFonts w:hint="eastAsia" w:ascii="方正仿宋_GB2312" w:hAnsi="方正仿宋_GB2312" w:eastAsia="方正仿宋_GB2312" w:cs="方正仿宋_GB2312"/>
          <w:color w:val="000000"/>
          <w:spacing w:val="8"/>
          <w:sz w:val="32"/>
          <w:szCs w:val="32"/>
          <w:lang w:eastAsia="zh-CN"/>
        </w:rPr>
        <w:t>，</w:t>
      </w:r>
      <w:r>
        <w:rPr>
          <w:rFonts w:hint="eastAsia" w:ascii="方正仿宋_GB2312" w:hAnsi="方正仿宋_GB2312" w:eastAsia="方正仿宋_GB2312" w:cs="方正仿宋_GB2312"/>
          <w:color w:val="000000"/>
          <w:spacing w:val="8"/>
          <w:sz w:val="32"/>
          <w:szCs w:val="32"/>
          <w:lang w:val="en-US" w:eastAsia="zh-CN"/>
        </w:rPr>
        <w:t>质保期内上门服务所需的全部检测费、校准费、人工费、服务费、差旅费、税费等一切费用均包含在报价内</w:t>
      </w:r>
      <w:r>
        <w:rPr>
          <w:rFonts w:hint="eastAsia" w:ascii="方正仿宋_GB2312" w:hAnsi="方正仿宋_GB2312" w:eastAsia="方正仿宋_GB2312" w:cs="方正仿宋_GB2312"/>
          <w:color w:val="000000"/>
          <w:spacing w:val="8"/>
          <w:sz w:val="32"/>
          <w:szCs w:val="32"/>
        </w:rPr>
        <w:t>。</w:t>
      </w:r>
    </w:p>
    <w:p w14:paraId="301E0E50">
      <w:pPr>
        <w:widowControl w:val="0"/>
        <w:numPr>
          <w:ilvl w:val="0"/>
          <w:numId w:val="0"/>
        </w:numPr>
        <w:adjustRightInd/>
        <w:snapToGrid/>
        <w:spacing w:after="0" w:line="360" w:lineRule="auto"/>
        <w:ind w:firstLine="672" w:firstLineChars="200"/>
        <w:jc w:val="both"/>
        <w:rPr>
          <w:rFonts w:hint="eastAsia" w:ascii="方正仿宋_GB2312" w:hAnsi="方正仿宋_GB2312" w:eastAsia="方正仿宋_GB2312" w:cs="方正仿宋_GB2312"/>
          <w:color w:val="000000"/>
          <w:spacing w:val="8"/>
          <w:sz w:val="32"/>
          <w:szCs w:val="32"/>
        </w:rPr>
      </w:pPr>
      <w:r>
        <w:rPr>
          <w:rFonts w:hint="eastAsia" w:ascii="方正仿宋_GB2312" w:hAnsi="方正仿宋_GB2312" w:eastAsia="方正仿宋_GB2312" w:cs="方正仿宋_GB2312"/>
          <w:color w:val="000000"/>
          <w:spacing w:val="8"/>
          <w:sz w:val="32"/>
          <w:szCs w:val="32"/>
          <w:lang w:val="en-US" w:eastAsia="zh-CN"/>
        </w:rPr>
        <w:t>5.供应商对中心相关各部门设备使用及平台运行的情况进行巡检时，须</w:t>
      </w:r>
      <w:r>
        <w:rPr>
          <w:rFonts w:hint="default" w:ascii="方正仿宋_GB2312" w:hAnsi="方正仿宋_GB2312" w:eastAsia="方正仿宋_GB2312" w:cs="方正仿宋_GB2312"/>
          <w:color w:val="000000"/>
          <w:spacing w:val="8"/>
          <w:sz w:val="32"/>
          <w:szCs w:val="32"/>
          <w:lang w:val="en-US" w:eastAsia="zh-CN"/>
        </w:rPr>
        <w:t>及时听取</w:t>
      </w:r>
      <w:r>
        <w:rPr>
          <w:rFonts w:hint="eastAsia" w:ascii="方正仿宋_GB2312" w:hAnsi="方正仿宋_GB2312" w:eastAsia="方正仿宋_GB2312" w:cs="方正仿宋_GB2312"/>
          <w:color w:val="000000"/>
          <w:spacing w:val="8"/>
          <w:sz w:val="32"/>
          <w:szCs w:val="32"/>
          <w:lang w:val="en-US" w:eastAsia="zh-CN"/>
        </w:rPr>
        <w:t>并按照采购人提出的</w:t>
      </w:r>
      <w:r>
        <w:rPr>
          <w:rFonts w:hint="default" w:ascii="方正仿宋_GB2312" w:hAnsi="方正仿宋_GB2312" w:eastAsia="方正仿宋_GB2312" w:cs="方正仿宋_GB2312"/>
          <w:color w:val="000000"/>
          <w:spacing w:val="8"/>
          <w:sz w:val="32"/>
          <w:szCs w:val="32"/>
          <w:lang w:val="en-US" w:eastAsia="zh-CN"/>
        </w:rPr>
        <w:t>意见建议，</w:t>
      </w:r>
      <w:r>
        <w:rPr>
          <w:rFonts w:hint="eastAsia" w:ascii="方正仿宋_GB2312" w:hAnsi="方正仿宋_GB2312" w:eastAsia="方正仿宋_GB2312" w:cs="方正仿宋_GB2312"/>
          <w:color w:val="000000"/>
          <w:spacing w:val="8"/>
          <w:sz w:val="32"/>
          <w:szCs w:val="32"/>
          <w:lang w:val="en-US" w:eastAsia="zh-CN"/>
        </w:rPr>
        <w:t>早发现、早处理</w:t>
      </w:r>
      <w:r>
        <w:rPr>
          <w:rFonts w:hint="default" w:ascii="方正仿宋_GB2312" w:hAnsi="方正仿宋_GB2312" w:eastAsia="方正仿宋_GB2312" w:cs="方正仿宋_GB2312"/>
          <w:color w:val="000000"/>
          <w:spacing w:val="8"/>
          <w:sz w:val="32"/>
          <w:szCs w:val="32"/>
          <w:lang w:val="en-US" w:eastAsia="zh-CN"/>
        </w:rPr>
        <w:t>问题</w:t>
      </w:r>
      <w:r>
        <w:rPr>
          <w:rFonts w:hint="eastAsia" w:ascii="方正仿宋_GB2312" w:hAnsi="方正仿宋_GB2312" w:eastAsia="方正仿宋_GB2312" w:cs="方正仿宋_GB2312"/>
          <w:color w:val="000000"/>
          <w:spacing w:val="8"/>
          <w:sz w:val="32"/>
          <w:szCs w:val="32"/>
          <w:lang w:val="en-US" w:eastAsia="zh-CN"/>
        </w:rPr>
        <w:t>。</w:t>
      </w:r>
    </w:p>
    <w:p w14:paraId="08C607D3">
      <w:pPr>
        <w:widowControl w:val="0"/>
        <w:adjustRightInd/>
        <w:snapToGrid/>
        <w:spacing w:after="0" w:line="360" w:lineRule="auto"/>
        <w:ind w:firstLine="672" w:firstLineChars="200"/>
        <w:jc w:val="both"/>
        <w:rPr>
          <w:rFonts w:hint="eastAsia" w:ascii="方正黑体_GBK" w:hAnsi="方正黑体_GBK" w:eastAsia="方正黑体_GBK" w:cs="方正黑体_GBK"/>
          <w:bCs/>
          <w:color w:val="000000"/>
          <w:spacing w:val="8"/>
          <w:sz w:val="32"/>
          <w:szCs w:val="32"/>
          <w:lang w:val="en-US" w:eastAsia="zh-CN"/>
        </w:rPr>
      </w:pPr>
      <w:r>
        <w:rPr>
          <w:rFonts w:hint="eastAsia" w:ascii="方正黑体_GBK" w:hAnsi="方正黑体_GBK" w:eastAsia="方正黑体_GBK" w:cs="方正黑体_GBK"/>
          <w:bCs/>
          <w:color w:val="000000"/>
          <w:spacing w:val="8"/>
          <w:sz w:val="32"/>
          <w:szCs w:val="32"/>
          <w:lang w:val="en-US" w:eastAsia="zh-CN"/>
        </w:rPr>
        <w:t>五、其他要求</w:t>
      </w:r>
    </w:p>
    <w:p w14:paraId="585D8864">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672" w:firstLineChars="200"/>
        <w:jc w:val="both"/>
        <w:textAlignment w:val="auto"/>
        <w:rPr>
          <w:rFonts w:hint="default" w:ascii="方正仿宋_GB2312" w:hAnsi="方正仿宋_GB2312" w:eastAsia="方正仿宋_GB2312" w:cs="方正仿宋_GB2312"/>
          <w:color w:val="000000"/>
          <w:spacing w:val="8"/>
          <w:sz w:val="32"/>
          <w:szCs w:val="32"/>
          <w:lang w:val="en-US" w:eastAsia="zh-CN"/>
        </w:rPr>
      </w:pPr>
      <w:r>
        <w:rPr>
          <w:rFonts w:hint="default" w:ascii="方正仿宋_GB2312" w:hAnsi="方正仿宋_GB2312" w:eastAsia="方正仿宋_GB2312" w:cs="方正仿宋_GB2312"/>
          <w:color w:val="000000"/>
          <w:spacing w:val="8"/>
          <w:sz w:val="32"/>
          <w:szCs w:val="32"/>
          <w:lang w:val="en-US" w:eastAsia="zh-CN"/>
        </w:rPr>
        <w:t>若因供应商</w:t>
      </w:r>
      <w:r>
        <w:rPr>
          <w:rFonts w:hint="eastAsia" w:ascii="方正仿宋_GB2312" w:hAnsi="方正仿宋_GB2312" w:eastAsia="方正仿宋_GB2312" w:cs="方正仿宋_GB2312"/>
          <w:color w:val="000000"/>
          <w:spacing w:val="8"/>
          <w:sz w:val="32"/>
          <w:szCs w:val="32"/>
          <w:lang w:val="en-US" w:eastAsia="zh-CN"/>
        </w:rPr>
        <w:t>服务</w:t>
      </w:r>
      <w:r>
        <w:rPr>
          <w:rFonts w:hint="default" w:ascii="方正仿宋_GB2312" w:hAnsi="方正仿宋_GB2312" w:eastAsia="方正仿宋_GB2312" w:cs="方正仿宋_GB2312"/>
          <w:color w:val="000000"/>
          <w:spacing w:val="8"/>
          <w:sz w:val="32"/>
          <w:szCs w:val="32"/>
          <w:lang w:val="en-US" w:eastAsia="zh-CN"/>
        </w:rPr>
        <w:t>不当引发</w:t>
      </w:r>
      <w:r>
        <w:rPr>
          <w:rFonts w:hint="eastAsia" w:ascii="方正仿宋_GB2312" w:hAnsi="方正仿宋_GB2312" w:eastAsia="方正仿宋_GB2312" w:cs="方正仿宋_GB2312"/>
          <w:color w:val="000000"/>
          <w:spacing w:val="8"/>
          <w:sz w:val="32"/>
          <w:szCs w:val="32"/>
          <w:lang w:val="en-US" w:eastAsia="zh-CN"/>
        </w:rPr>
        <w:t>本系统的各类</w:t>
      </w:r>
      <w:r>
        <w:rPr>
          <w:rFonts w:hint="default" w:ascii="方正仿宋_GB2312" w:hAnsi="方正仿宋_GB2312" w:eastAsia="方正仿宋_GB2312" w:cs="方正仿宋_GB2312"/>
          <w:color w:val="000000"/>
          <w:spacing w:val="8"/>
          <w:sz w:val="32"/>
          <w:szCs w:val="32"/>
          <w:lang w:val="en-US" w:eastAsia="zh-CN"/>
        </w:rPr>
        <w:t>设备故障</w:t>
      </w:r>
      <w:r>
        <w:rPr>
          <w:rFonts w:hint="eastAsia" w:ascii="方正仿宋_GB2312" w:hAnsi="方正仿宋_GB2312" w:eastAsia="方正仿宋_GB2312" w:cs="方正仿宋_GB2312"/>
          <w:color w:val="000000"/>
          <w:spacing w:val="8"/>
          <w:sz w:val="32"/>
          <w:szCs w:val="32"/>
          <w:lang w:val="en-US" w:eastAsia="zh-CN"/>
        </w:rPr>
        <w:t>或</w:t>
      </w:r>
      <w:r>
        <w:rPr>
          <w:rFonts w:hint="default" w:ascii="方正仿宋_GB2312" w:hAnsi="方正仿宋_GB2312" w:eastAsia="方正仿宋_GB2312" w:cs="方正仿宋_GB2312"/>
          <w:color w:val="000000"/>
          <w:spacing w:val="8"/>
          <w:sz w:val="32"/>
          <w:szCs w:val="32"/>
          <w:lang w:val="en-US" w:eastAsia="zh-CN"/>
        </w:rPr>
        <w:t>引发</w:t>
      </w:r>
      <w:r>
        <w:rPr>
          <w:rFonts w:hint="eastAsia" w:ascii="方正仿宋_GB2312" w:hAnsi="方正仿宋_GB2312" w:eastAsia="方正仿宋_GB2312" w:cs="方正仿宋_GB2312"/>
          <w:color w:val="000000"/>
          <w:spacing w:val="8"/>
          <w:sz w:val="32"/>
          <w:szCs w:val="32"/>
          <w:lang w:val="en-US" w:eastAsia="zh-CN"/>
        </w:rPr>
        <w:t>采购人</w:t>
      </w:r>
      <w:r>
        <w:rPr>
          <w:rFonts w:hint="default" w:ascii="方正仿宋_GB2312" w:hAnsi="方正仿宋_GB2312" w:eastAsia="方正仿宋_GB2312" w:cs="方正仿宋_GB2312"/>
          <w:color w:val="000000"/>
          <w:spacing w:val="8"/>
          <w:sz w:val="32"/>
          <w:szCs w:val="32"/>
          <w:lang w:val="en-US" w:eastAsia="zh-CN"/>
        </w:rPr>
        <w:t>其他设备故障，供应商应负责排除故障直至</w:t>
      </w:r>
      <w:r>
        <w:rPr>
          <w:rFonts w:hint="eastAsia" w:ascii="方正仿宋_GB2312" w:hAnsi="方正仿宋_GB2312" w:eastAsia="方正仿宋_GB2312" w:cs="方正仿宋_GB2312"/>
          <w:color w:val="000000"/>
          <w:spacing w:val="8"/>
          <w:sz w:val="32"/>
          <w:szCs w:val="32"/>
          <w:lang w:val="en-US" w:eastAsia="zh-CN"/>
        </w:rPr>
        <w:t>相关</w:t>
      </w:r>
      <w:r>
        <w:rPr>
          <w:rFonts w:hint="default" w:ascii="方正仿宋_GB2312" w:hAnsi="方正仿宋_GB2312" w:eastAsia="方正仿宋_GB2312" w:cs="方正仿宋_GB2312"/>
          <w:color w:val="000000"/>
          <w:spacing w:val="8"/>
          <w:sz w:val="32"/>
          <w:szCs w:val="32"/>
          <w:lang w:val="en-US" w:eastAsia="zh-CN"/>
        </w:rPr>
        <w:t>设备正常运行，所产生的费用全部由供应商承担，因此给采购人造成的损失也全部由供应商负责赔偿。</w:t>
      </w:r>
    </w:p>
    <w:p w14:paraId="10F83BE4">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672" w:firstLineChars="200"/>
        <w:jc w:val="both"/>
        <w:textAlignment w:val="auto"/>
        <w:rPr>
          <w:rFonts w:hint="default"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供应商应在接到采购人通知后24小时内响应并依据情况到现场服务或远程指导处理，</w:t>
      </w:r>
      <w:r>
        <w:rPr>
          <w:rFonts w:hint="default" w:ascii="方正仿宋_GB2312" w:hAnsi="方正仿宋_GB2312" w:eastAsia="方正仿宋_GB2312" w:cs="方正仿宋_GB2312"/>
          <w:color w:val="000000"/>
          <w:spacing w:val="8"/>
          <w:sz w:val="32"/>
          <w:szCs w:val="32"/>
          <w:lang w:val="en-US" w:eastAsia="zh-CN"/>
        </w:rPr>
        <w:t>若因供应商原因</w:t>
      </w:r>
      <w:r>
        <w:rPr>
          <w:rFonts w:hint="eastAsia" w:ascii="方正仿宋_GB2312" w:hAnsi="方正仿宋_GB2312" w:eastAsia="方正仿宋_GB2312" w:cs="方正仿宋_GB2312"/>
          <w:color w:val="000000"/>
          <w:spacing w:val="8"/>
          <w:sz w:val="32"/>
          <w:szCs w:val="32"/>
          <w:lang w:val="en-US" w:eastAsia="zh-CN"/>
        </w:rPr>
        <w:t>未及时响应、或拒绝到场、或到场后拒绝提供</w:t>
      </w:r>
      <w:r>
        <w:rPr>
          <w:rFonts w:hint="eastAsia" w:ascii="方正仿宋_GB2312" w:hAnsi="方正仿宋_GB2312" w:eastAsia="方正仿宋_GB2312" w:cs="方正仿宋_GB2312"/>
          <w:strike/>
          <w:dstrike w:val="0"/>
          <w:color w:val="000000"/>
          <w:spacing w:val="8"/>
          <w:sz w:val="32"/>
          <w:szCs w:val="32"/>
          <w:lang w:val="en-US" w:eastAsia="zh-CN"/>
        </w:rPr>
        <w:t>维修</w:t>
      </w:r>
      <w:r>
        <w:rPr>
          <w:rFonts w:hint="eastAsia" w:ascii="方正仿宋_GB2312" w:hAnsi="方正仿宋_GB2312" w:eastAsia="方正仿宋_GB2312" w:cs="方正仿宋_GB2312"/>
          <w:color w:val="000000"/>
          <w:spacing w:val="8"/>
          <w:sz w:val="32"/>
          <w:szCs w:val="32"/>
          <w:lang w:val="en-US" w:eastAsia="zh-CN"/>
        </w:rPr>
        <w:t>、更换等服务，或拒绝提供校准报告等资料、</w:t>
      </w:r>
      <w:r>
        <w:rPr>
          <w:rFonts w:hint="default" w:ascii="方正仿宋_GB2312" w:hAnsi="方正仿宋_GB2312" w:eastAsia="方正仿宋_GB2312" w:cs="方正仿宋_GB2312"/>
          <w:color w:val="000000"/>
          <w:spacing w:val="8"/>
          <w:sz w:val="32"/>
          <w:szCs w:val="32"/>
          <w:lang w:val="en-US" w:eastAsia="zh-CN"/>
        </w:rPr>
        <w:t>或服务</w:t>
      </w:r>
      <w:r>
        <w:rPr>
          <w:rFonts w:hint="eastAsia" w:ascii="方正仿宋_GB2312" w:hAnsi="方正仿宋_GB2312" w:eastAsia="方正仿宋_GB2312" w:cs="方正仿宋_GB2312"/>
          <w:color w:val="000000"/>
          <w:spacing w:val="8"/>
          <w:sz w:val="32"/>
          <w:szCs w:val="32"/>
          <w:lang w:val="en-US" w:eastAsia="zh-CN"/>
        </w:rPr>
        <w:t>未达到</w:t>
      </w:r>
      <w:r>
        <w:rPr>
          <w:rFonts w:hint="default" w:ascii="方正仿宋_GB2312" w:hAnsi="方正仿宋_GB2312" w:eastAsia="方正仿宋_GB2312" w:cs="方正仿宋_GB2312"/>
          <w:color w:val="000000"/>
          <w:spacing w:val="8"/>
          <w:sz w:val="32"/>
          <w:szCs w:val="32"/>
          <w:lang w:val="en-US" w:eastAsia="zh-CN"/>
        </w:rPr>
        <w:t>合同约定标准，</w:t>
      </w:r>
      <w:r>
        <w:rPr>
          <w:rFonts w:hint="eastAsia" w:ascii="方正仿宋_GB2312" w:hAnsi="方正仿宋_GB2312" w:eastAsia="方正仿宋_GB2312" w:cs="方正仿宋_GB2312"/>
          <w:color w:val="000000"/>
          <w:spacing w:val="8"/>
          <w:sz w:val="32"/>
          <w:szCs w:val="32"/>
          <w:lang w:val="en-US" w:eastAsia="zh-CN"/>
        </w:rPr>
        <w:t>采购人有权另行委托第三方提供服务，由此产生的费用以采购人开具的费用清单为准，全部由供应商承担；若</w:t>
      </w:r>
      <w:r>
        <w:rPr>
          <w:rFonts w:hint="default" w:ascii="方正仿宋_GB2312" w:hAnsi="方正仿宋_GB2312" w:eastAsia="方正仿宋_GB2312" w:cs="方正仿宋_GB2312"/>
          <w:color w:val="000000"/>
          <w:spacing w:val="8"/>
          <w:sz w:val="32"/>
          <w:szCs w:val="32"/>
          <w:lang w:val="en-US" w:eastAsia="zh-CN"/>
        </w:rPr>
        <w:t>影响采购人采供血工作的正常开展，或引发采供血质量问题等，采购人有权无条件终止合同，并要求供应商赔偿因此给采购人造成的损失，包括但不限于设备损坏、血液产品质量问题、因此导致的人身损害、采购人因此遭受的声誉损害及对第三人承担的损失赔偿等。</w:t>
      </w:r>
    </w:p>
    <w:p w14:paraId="0ED79CE7">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firstLine="672" w:firstLineChars="200"/>
        <w:jc w:val="both"/>
        <w:textAlignment w:val="auto"/>
        <w:rPr>
          <w:rFonts w:hint="default" w:ascii="方正仿宋_GB2312" w:hAnsi="方正仿宋_GB2312" w:eastAsia="方正仿宋_GB2312" w:cs="方正仿宋_GB2312"/>
          <w:color w:val="000000"/>
          <w:spacing w:val="8"/>
          <w:sz w:val="32"/>
          <w:szCs w:val="32"/>
          <w:lang w:val="en-US" w:eastAsia="zh-CN"/>
        </w:rPr>
      </w:pPr>
      <w:r>
        <w:rPr>
          <w:rFonts w:hint="default" w:ascii="方正仿宋_GB2312" w:hAnsi="方正仿宋_GB2312" w:eastAsia="方正仿宋_GB2312" w:cs="方正仿宋_GB2312"/>
          <w:color w:val="000000"/>
          <w:spacing w:val="8"/>
          <w:sz w:val="32"/>
          <w:szCs w:val="32"/>
          <w:lang w:val="en-US" w:eastAsia="zh-CN"/>
        </w:rPr>
        <w:t>供应商应承诺参与本项目的工程师严格遵守相关法规和采购人管理制度，不得擅自翻阅、复制、传播所接触的采购人资料或数据，如发现供应商未经采购人同意，对外泄露采购人数据或文件，采购人有权追究供应商责任。</w:t>
      </w:r>
    </w:p>
    <w:p w14:paraId="178D3B25">
      <w:pPr>
        <w:widowControl w:val="0"/>
        <w:adjustRightInd/>
        <w:snapToGrid/>
        <w:spacing w:after="0" w:line="360" w:lineRule="auto"/>
        <w:ind w:firstLine="672" w:firstLineChars="200"/>
        <w:jc w:val="both"/>
        <w:rPr>
          <w:rFonts w:hint="eastAsia" w:ascii="方正黑体_GBK" w:hAnsi="方正黑体_GBK" w:eastAsia="方正黑体_GBK" w:cs="方正黑体_GBK"/>
          <w:bCs/>
          <w:color w:val="000000"/>
          <w:spacing w:val="8"/>
          <w:sz w:val="32"/>
          <w:szCs w:val="32"/>
          <w:lang w:val="en-US" w:eastAsia="zh-CN"/>
        </w:rPr>
      </w:pPr>
      <w:r>
        <w:rPr>
          <w:rFonts w:hint="eastAsia" w:ascii="方正黑体_GBK" w:hAnsi="方正黑体_GBK" w:eastAsia="方正黑体_GBK" w:cs="方正黑体_GBK"/>
          <w:bCs/>
          <w:color w:val="000000"/>
          <w:spacing w:val="8"/>
          <w:sz w:val="32"/>
          <w:szCs w:val="32"/>
          <w:lang w:val="en-US" w:eastAsia="zh-CN"/>
        </w:rPr>
        <w:t>六、商务要求</w:t>
      </w:r>
    </w:p>
    <w:p w14:paraId="2F8F4579">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72" w:firstLineChars="200"/>
        <w:jc w:val="both"/>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服务时间及地点：采购人指定时间及地点。</w:t>
      </w:r>
    </w:p>
    <w:p w14:paraId="5C368587">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72" w:firstLineChars="200"/>
        <w:jc w:val="both"/>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本服务一招三年，合同一年一签。</w:t>
      </w:r>
    </w:p>
    <w:p w14:paraId="073B4829">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72" w:firstLineChars="200"/>
        <w:jc w:val="both"/>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供应商须配备固定的专业技术工程师，服务经验丰富且熟知系统及设备情况，有效缩短售后服务的响应时间和处理时间；供应商须指派专人负责与采购人联系售后服务事宜，专人须保持电话24小时畅通。</w:t>
      </w:r>
    </w:p>
    <w:p w14:paraId="11113803">
      <w:pPr>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0" w:leftChars="0" w:firstLine="672" w:firstLineChars="200"/>
        <w:jc w:val="both"/>
        <w:textAlignment w:val="auto"/>
        <w:rPr>
          <w:rFonts w:hint="eastAsia" w:ascii="方正仿宋_GB2312" w:hAnsi="方正仿宋_GB2312" w:eastAsia="方正仿宋_GB2312" w:cs="方正仿宋_GB2312"/>
          <w:color w:val="000000"/>
          <w:spacing w:val="8"/>
          <w:sz w:val="32"/>
          <w:szCs w:val="32"/>
          <w:lang w:val="en-US" w:eastAsia="zh-CN"/>
        </w:rPr>
      </w:pPr>
      <w:r>
        <w:rPr>
          <w:rFonts w:hint="eastAsia" w:ascii="方正仿宋_GB2312" w:hAnsi="方正仿宋_GB2312" w:eastAsia="方正仿宋_GB2312" w:cs="方正仿宋_GB2312"/>
          <w:color w:val="000000"/>
          <w:spacing w:val="8"/>
          <w:sz w:val="32"/>
          <w:szCs w:val="32"/>
          <w:lang w:val="en-US" w:eastAsia="zh-CN"/>
        </w:rPr>
        <w:t>报价要求：供应商报价为一价全包，即包含提供服务所需的全部检测费、人工费、服务费、差旅费、第三方校准、税费等一切费用。不超过预算金额4.85万元。</w:t>
      </w:r>
    </w:p>
    <w:p w14:paraId="3373CA7E">
      <w:pPr>
        <w:pStyle w:val="9"/>
        <w:ind w:firstLine="672" w:firstLineChars="200"/>
        <w:rPr>
          <w:rFonts w:hint="eastAsia" w:ascii="仿宋" w:hAnsi="仿宋" w:eastAsia="仿宋" w:cs="Segoe UI"/>
          <w:color w:val="212529"/>
          <w:kern w:val="0"/>
          <w:sz w:val="30"/>
          <w:szCs w:val="30"/>
          <w:lang w:val="en-US" w:eastAsia="zh-CN" w:bidi="ar-SA"/>
        </w:rPr>
      </w:pPr>
      <w:r>
        <w:rPr>
          <w:rFonts w:hint="eastAsia" w:ascii="方正仿宋_GB2312" w:hAnsi="方正仿宋_GB2312" w:eastAsia="方正仿宋_GB2312" w:cs="方正仿宋_GB2312"/>
          <w:color w:val="000000"/>
          <w:spacing w:val="8"/>
          <w:sz w:val="32"/>
          <w:szCs w:val="32"/>
          <w:lang w:val="en-US" w:eastAsia="zh-CN"/>
        </w:rPr>
        <w:t>付款方式：服务结束并经采购人验收合格，且收到供应商提交的付款所需的相关资料及符合采购人要求的增值税普通发票后15个工作日内，采购人向供应商一次性支付服务费用。</w:t>
      </w:r>
    </w:p>
    <w:p w14:paraId="39FF4FBE"/>
    <w:sectPr>
      <w:pgSz w:w="16838" w:h="11906" w:orient="landscape"/>
      <w:pgMar w:top="1417" w:right="1440" w:bottom="141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FE3875-B508-4A47-9C09-B72ACDB220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D695A708-0DC1-4E37-8934-05F85A430F5B}"/>
  </w:font>
  <w:font w:name="方正小标宋_GBK">
    <w:panose1 w:val="02000000000000000000"/>
    <w:charset w:val="86"/>
    <w:family w:val="script"/>
    <w:pitch w:val="default"/>
    <w:sig w:usb0="A00002BF" w:usb1="38CF7CFA" w:usb2="00082016" w:usb3="00000000" w:csb0="00040001" w:csb1="00000000"/>
    <w:embedRegular r:id="rId3" w:fontKey="{3026A7B1-3D1B-4FC4-9824-626ACED81103}"/>
  </w:font>
  <w:font w:name="Segoe UI">
    <w:panose1 w:val="020B0502040204020203"/>
    <w:charset w:val="00"/>
    <w:family w:val="swiss"/>
    <w:pitch w:val="default"/>
    <w:sig w:usb0="E4002EFF" w:usb1="C000E47F" w:usb2="00000009" w:usb3="00000000" w:csb0="200001FF" w:csb1="00000000"/>
    <w:embedRegular r:id="rId4" w:fontKey="{CF976A5E-D238-4C91-8525-902B9299D1D7}"/>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5" w:fontKey="{1FBDD448-9B5A-49FB-A40D-402ECDEE4D40}"/>
  </w:font>
  <w:font w:name="方正黑体_GBK">
    <w:panose1 w:val="03000509000000000000"/>
    <w:charset w:val="86"/>
    <w:family w:val="auto"/>
    <w:pitch w:val="default"/>
    <w:sig w:usb0="00000001" w:usb1="080E0000" w:usb2="00000000" w:usb3="00000000" w:csb0="00040000" w:csb1="00000000"/>
    <w:embedRegular r:id="rId6" w:fontKey="{261F648E-BA4D-4525-8532-29A88974C3C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44F17F"/>
    <w:multiLevelType w:val="singleLevel"/>
    <w:tmpl w:val="CE44F17F"/>
    <w:lvl w:ilvl="0" w:tentative="0">
      <w:start w:val="1"/>
      <w:numFmt w:val="decimal"/>
      <w:lvlText w:val="%1."/>
      <w:lvlJc w:val="left"/>
      <w:pPr>
        <w:ind w:left="425" w:hanging="425"/>
      </w:pPr>
      <w:rPr>
        <w:rFonts w:hint="default"/>
      </w:rPr>
    </w:lvl>
  </w:abstractNum>
  <w:abstractNum w:abstractNumId="1">
    <w:nsid w:val="58083537"/>
    <w:multiLevelType w:val="singleLevel"/>
    <w:tmpl w:val="58083537"/>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YjVjNzEwYzAyMGRjM2RkYzMwYTFiMDgxNDY4NTYifQ=="/>
  </w:docVars>
  <w:rsids>
    <w:rsidRoot w:val="37E87FE5"/>
    <w:rsid w:val="03F25E4D"/>
    <w:rsid w:val="086819E9"/>
    <w:rsid w:val="0B262A11"/>
    <w:rsid w:val="0B5D1734"/>
    <w:rsid w:val="0C5C0A4B"/>
    <w:rsid w:val="0D1D346E"/>
    <w:rsid w:val="14956E74"/>
    <w:rsid w:val="1A4C6A89"/>
    <w:rsid w:val="1A72041A"/>
    <w:rsid w:val="1E450758"/>
    <w:rsid w:val="207F4AB1"/>
    <w:rsid w:val="346017F6"/>
    <w:rsid w:val="364934A3"/>
    <w:rsid w:val="37E87FE5"/>
    <w:rsid w:val="40DF4491"/>
    <w:rsid w:val="4AAD66F2"/>
    <w:rsid w:val="4DCC356C"/>
    <w:rsid w:val="527032B3"/>
    <w:rsid w:val="5BFD71A2"/>
    <w:rsid w:val="5C653798"/>
    <w:rsid w:val="68DA7B32"/>
    <w:rsid w:val="71261652"/>
    <w:rsid w:val="71306295"/>
    <w:rsid w:val="74937979"/>
    <w:rsid w:val="790D4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rPr>
      <w:rFonts w:ascii="仿宋" w:hAnsi="仿宋" w:eastAsia="仿宋" w:cs="仿宋"/>
      <w:sz w:val="24"/>
      <w:lang w:val="zh-CN" w:bidi="zh-CN"/>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41"/>
    <w:basedOn w:val="6"/>
    <w:qFormat/>
    <w:uiPriority w:val="0"/>
    <w:rPr>
      <w:rFonts w:hint="eastAsia" w:ascii="宋体" w:hAnsi="宋体" w:eastAsia="宋体" w:cs="宋体"/>
      <w:color w:val="000000"/>
      <w:sz w:val="24"/>
      <w:szCs w:val="24"/>
      <w:u w:val="none"/>
    </w:rPr>
  </w:style>
  <w:style w:type="character" w:customStyle="1" w:styleId="8">
    <w:name w:val="font71"/>
    <w:basedOn w:val="6"/>
    <w:qFormat/>
    <w:uiPriority w:val="0"/>
    <w:rPr>
      <w:rFonts w:hint="eastAsia" w:ascii="宋体" w:hAnsi="宋体" w:eastAsia="宋体" w:cs="宋体"/>
      <w:color w:val="000000"/>
      <w:sz w:val="24"/>
      <w:szCs w:val="24"/>
      <w:u w:val="none"/>
    </w:rPr>
  </w:style>
  <w:style w:type="paragraph" w:customStyle="1" w:styleId="9">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1715</Words>
  <Characters>1737</Characters>
  <Lines>0</Lines>
  <Paragraphs>0</Paragraphs>
  <TotalTime>1</TotalTime>
  <ScaleCrop>false</ScaleCrop>
  <LinksUpToDate>false</LinksUpToDate>
  <CharactersWithSpaces>1744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2024-03-06T05:58:00Z</dcterms:created>
  <dc:creator>喵了个咪</dc:creator>
  <cp:lastModifiedBy>泓泓泓</cp:lastModifiedBy>
  <cp:lastPrinted>2024-10-22T01:47:00Z</cp:lastPrinted>
  <dcterms:modified xsi:type="dcterms:W3CDTF">2024-11-11T07:10:16Z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4E3F788C8942455FB8973DB1BCE1AC5F_11</vt:lpwstr>
  </property>
</Properties>
</file>